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F25702" w14:textId="5FA864F7" w:rsidR="00485115" w:rsidRDefault="00485115" w:rsidP="00BD2E49"/>
    <w:p w14:paraId="5A362E6C" w14:textId="6B9FC524" w:rsidR="00F54914" w:rsidRDefault="00F54914" w:rsidP="00BD2E49"/>
    <w:p w14:paraId="6B5AE319" w14:textId="18C71B03" w:rsidR="00F54914" w:rsidRDefault="00F54914" w:rsidP="00BD2E49"/>
    <w:p w14:paraId="29640F58" w14:textId="7EAD60DB" w:rsidR="00F54914" w:rsidRDefault="00F54914" w:rsidP="00BD2E49"/>
    <w:p w14:paraId="5C69B31C" w14:textId="5E091542" w:rsidR="00F54914" w:rsidRDefault="00F54914" w:rsidP="00BD2E49"/>
    <w:p w14:paraId="00F90F8C" w14:textId="77777777" w:rsidR="00F54914" w:rsidRPr="00F54914" w:rsidRDefault="00F54914" w:rsidP="00F54914">
      <w:pPr>
        <w:shd w:val="clear" w:color="auto" w:fill="F8F8F8"/>
        <w:spacing w:before="100" w:beforeAutospacing="1" w:after="100" w:afterAutospacing="1"/>
        <w:outlineLvl w:val="2"/>
        <w:rPr>
          <w:rFonts w:eastAsia="Times New Roman" w:cs="Times New Roman"/>
          <w:color w:val="394753"/>
          <w:lang w:eastAsia="en-GB"/>
        </w:rPr>
      </w:pPr>
      <w:r w:rsidRPr="00F54914">
        <w:rPr>
          <w:rFonts w:eastAsia="Times New Roman" w:cs="Times New Roman"/>
          <w:color w:val="394753"/>
          <w:lang w:eastAsia="en-GB"/>
        </w:rPr>
        <w:t>Waiting and Loading Restrictions on the Highway</w:t>
      </w:r>
    </w:p>
    <w:p w14:paraId="6DD62229" w14:textId="77777777" w:rsidR="00F54914" w:rsidRPr="00F54914" w:rsidRDefault="00F54914" w:rsidP="00F54914">
      <w:pPr>
        <w:shd w:val="clear" w:color="auto" w:fill="F8F8F8"/>
        <w:spacing w:after="150"/>
        <w:rPr>
          <w:rFonts w:eastAsia="Times New Roman" w:cs="Arial"/>
          <w:color w:val="394753"/>
          <w:lang w:eastAsia="en-GB"/>
        </w:rPr>
      </w:pPr>
      <w:r w:rsidRPr="00F54914">
        <w:rPr>
          <w:rFonts w:eastAsia="Times New Roman" w:cs="Arial"/>
          <w:color w:val="394753"/>
          <w:lang w:eastAsia="en-GB"/>
        </w:rPr>
        <w:t xml:space="preserve">Waiting and loading restrictions are imposed by Traffic Regulation Orders (TROs) made by the local authority and indicated by fixed signs and road markings, which must be statutory form </w:t>
      </w:r>
      <w:proofErr w:type="gramStart"/>
      <w:r w:rsidRPr="00F54914">
        <w:rPr>
          <w:rFonts w:eastAsia="Times New Roman" w:cs="Arial"/>
          <w:color w:val="394753"/>
          <w:lang w:eastAsia="en-GB"/>
        </w:rPr>
        <w:t>in order to</w:t>
      </w:r>
      <w:proofErr w:type="gramEnd"/>
      <w:r w:rsidRPr="00F54914">
        <w:rPr>
          <w:rFonts w:eastAsia="Times New Roman" w:cs="Arial"/>
          <w:color w:val="394753"/>
          <w:lang w:eastAsia="en-GB"/>
        </w:rPr>
        <w:t xml:space="preserve"> be enforceable.</w:t>
      </w:r>
    </w:p>
    <w:p w14:paraId="4AE95EDD" w14:textId="77777777" w:rsidR="00F54914" w:rsidRPr="00F54914" w:rsidRDefault="00F54914" w:rsidP="00F54914">
      <w:pPr>
        <w:shd w:val="clear" w:color="auto" w:fill="F8F8F8"/>
        <w:spacing w:before="100" w:beforeAutospacing="1" w:after="100" w:afterAutospacing="1"/>
        <w:outlineLvl w:val="3"/>
        <w:rPr>
          <w:rFonts w:eastAsia="Times New Roman" w:cs="Arial"/>
          <w:color w:val="394753"/>
          <w:lang w:eastAsia="en-GB"/>
        </w:rPr>
      </w:pPr>
      <w:r w:rsidRPr="00F54914">
        <w:rPr>
          <w:rFonts w:eastAsia="Times New Roman" w:cs="Arial"/>
          <w:color w:val="394753"/>
          <w:lang w:eastAsia="en-GB"/>
        </w:rPr>
        <w:t>Waiting restrictions</w:t>
      </w:r>
    </w:p>
    <w:p w14:paraId="75E92CF5" w14:textId="77777777" w:rsidR="00F54914" w:rsidRPr="00F54914" w:rsidRDefault="00F54914" w:rsidP="00F54914">
      <w:pPr>
        <w:shd w:val="clear" w:color="auto" w:fill="F8F8F8"/>
        <w:spacing w:after="150"/>
        <w:rPr>
          <w:rFonts w:eastAsia="Times New Roman" w:cs="Arial"/>
          <w:color w:val="394753"/>
          <w:lang w:eastAsia="en-GB"/>
        </w:rPr>
      </w:pPr>
      <w:r w:rsidRPr="00F54914">
        <w:rPr>
          <w:rFonts w:eastAsia="Times New Roman" w:cs="Arial"/>
          <w:color w:val="394753"/>
          <w:lang w:eastAsia="en-GB"/>
        </w:rPr>
        <w:t>In most built-up areas throughout the country, regulations are in force to control parking and waiting in certain places.</w:t>
      </w:r>
    </w:p>
    <w:p w14:paraId="0D6EA9B2" w14:textId="77777777" w:rsidR="00F54914" w:rsidRPr="00F54914" w:rsidRDefault="00F54914" w:rsidP="00F54914">
      <w:pPr>
        <w:shd w:val="clear" w:color="auto" w:fill="F8F8F8"/>
        <w:spacing w:after="150"/>
        <w:rPr>
          <w:rFonts w:eastAsia="Times New Roman" w:cs="Arial"/>
          <w:color w:val="394753"/>
          <w:lang w:eastAsia="en-GB"/>
        </w:rPr>
      </w:pPr>
      <w:r w:rsidRPr="00F54914">
        <w:rPr>
          <w:rFonts w:eastAsia="Times New Roman" w:cs="Arial"/>
          <w:color w:val="394753"/>
          <w:lang w:eastAsia="en-GB"/>
        </w:rPr>
        <w:t>The prohibitions in force are indicated by yellow lines along the edge of the carriageway showing the various forms of prohibition. These markings consist of:</w:t>
      </w:r>
    </w:p>
    <w:tbl>
      <w:tblPr>
        <w:tblW w:w="12713" w:type="dxa"/>
        <w:tblCellMar>
          <w:top w:w="15" w:type="dxa"/>
          <w:left w:w="15" w:type="dxa"/>
          <w:bottom w:w="15" w:type="dxa"/>
          <w:right w:w="15" w:type="dxa"/>
        </w:tblCellMar>
        <w:tblLook w:val="04A0" w:firstRow="1" w:lastRow="0" w:firstColumn="1" w:lastColumn="0" w:noHBand="0" w:noVBand="1"/>
      </w:tblPr>
      <w:tblGrid>
        <w:gridCol w:w="4474"/>
        <w:gridCol w:w="8239"/>
      </w:tblGrid>
      <w:tr w:rsidR="00F54914" w:rsidRPr="00F54914" w14:paraId="232B59E3" w14:textId="77777777" w:rsidTr="00F54914">
        <w:tc>
          <w:tcPr>
            <w:tcW w:w="0" w:type="auto"/>
            <w:tcBorders>
              <w:top w:val="single" w:sz="6" w:space="0" w:color="DADADA"/>
              <w:left w:val="single" w:sz="6" w:space="0" w:color="DADADA"/>
              <w:bottom w:val="single" w:sz="6" w:space="0" w:color="DADADA"/>
              <w:right w:val="single" w:sz="6" w:space="0" w:color="DADADA"/>
            </w:tcBorders>
            <w:shd w:val="clear" w:color="auto" w:fill="auto"/>
            <w:hideMark/>
          </w:tcPr>
          <w:p w14:paraId="6970BA59" w14:textId="77777777" w:rsidR="00F54914" w:rsidRPr="00F54914" w:rsidRDefault="00F54914" w:rsidP="00F54914">
            <w:pPr>
              <w:rPr>
                <w:rFonts w:eastAsia="Times New Roman" w:cs="Times New Roman"/>
                <w:lang w:eastAsia="en-GB"/>
              </w:rPr>
            </w:pPr>
            <w:r w:rsidRPr="00F54914">
              <w:rPr>
                <w:rFonts w:eastAsia="Times New Roman" w:cs="Times New Roman"/>
                <w:b/>
                <w:bCs/>
                <w:lang w:eastAsia="en-GB"/>
              </w:rPr>
              <w:t>Road marking</w:t>
            </w:r>
          </w:p>
        </w:tc>
        <w:tc>
          <w:tcPr>
            <w:tcW w:w="0" w:type="auto"/>
            <w:tcBorders>
              <w:top w:val="single" w:sz="6" w:space="0" w:color="DADADA"/>
              <w:left w:val="single" w:sz="6" w:space="0" w:color="DADADA"/>
              <w:bottom w:val="single" w:sz="6" w:space="0" w:color="DADADA"/>
              <w:right w:val="single" w:sz="6" w:space="0" w:color="DADADA"/>
            </w:tcBorders>
            <w:shd w:val="clear" w:color="auto" w:fill="auto"/>
            <w:hideMark/>
          </w:tcPr>
          <w:p w14:paraId="24A9DA60" w14:textId="77777777" w:rsidR="00F54914" w:rsidRPr="00F54914" w:rsidRDefault="00F54914" w:rsidP="00F54914">
            <w:pPr>
              <w:rPr>
                <w:rFonts w:eastAsia="Times New Roman" w:cs="Times New Roman"/>
                <w:lang w:eastAsia="en-GB"/>
              </w:rPr>
            </w:pPr>
            <w:r w:rsidRPr="00F54914">
              <w:rPr>
                <w:rFonts w:eastAsia="Times New Roman" w:cs="Times New Roman"/>
                <w:b/>
                <w:bCs/>
                <w:lang w:eastAsia="en-GB"/>
              </w:rPr>
              <w:t>Restriction</w:t>
            </w:r>
          </w:p>
        </w:tc>
      </w:tr>
      <w:tr w:rsidR="00F54914" w:rsidRPr="00F54914" w14:paraId="347B44CE" w14:textId="77777777" w:rsidTr="00F54914">
        <w:tc>
          <w:tcPr>
            <w:tcW w:w="0" w:type="auto"/>
            <w:tcBorders>
              <w:top w:val="single" w:sz="6" w:space="0" w:color="DADADA"/>
              <w:left w:val="single" w:sz="6" w:space="0" w:color="DADADA"/>
              <w:bottom w:val="single" w:sz="6" w:space="0" w:color="DADADA"/>
              <w:right w:val="single" w:sz="6" w:space="0" w:color="DADADA"/>
            </w:tcBorders>
            <w:shd w:val="clear" w:color="auto" w:fill="auto"/>
            <w:hideMark/>
          </w:tcPr>
          <w:p w14:paraId="5124181B" w14:textId="77777777" w:rsidR="00F54914" w:rsidRPr="00F54914" w:rsidRDefault="00F54914" w:rsidP="00F54914">
            <w:pPr>
              <w:rPr>
                <w:rFonts w:eastAsia="Times New Roman" w:cs="Times New Roman"/>
                <w:lang w:eastAsia="en-GB"/>
              </w:rPr>
            </w:pPr>
            <w:r w:rsidRPr="00F54914">
              <w:rPr>
                <w:rFonts w:eastAsia="Times New Roman" w:cs="Times New Roman"/>
                <w:lang w:eastAsia="en-GB"/>
              </w:rPr>
              <w:t>Single solid yellow line</w:t>
            </w:r>
          </w:p>
        </w:tc>
        <w:tc>
          <w:tcPr>
            <w:tcW w:w="0" w:type="auto"/>
            <w:tcBorders>
              <w:top w:val="single" w:sz="6" w:space="0" w:color="DADADA"/>
              <w:left w:val="single" w:sz="6" w:space="0" w:color="DADADA"/>
              <w:bottom w:val="single" w:sz="6" w:space="0" w:color="DADADA"/>
              <w:right w:val="single" w:sz="6" w:space="0" w:color="DADADA"/>
            </w:tcBorders>
            <w:shd w:val="clear" w:color="auto" w:fill="auto"/>
            <w:hideMark/>
          </w:tcPr>
          <w:p w14:paraId="70BD97F3" w14:textId="77777777" w:rsidR="00F54914" w:rsidRPr="00F54914" w:rsidRDefault="00F54914" w:rsidP="00F54914">
            <w:pPr>
              <w:rPr>
                <w:rFonts w:eastAsia="Times New Roman" w:cs="Times New Roman"/>
                <w:lang w:eastAsia="en-GB"/>
              </w:rPr>
            </w:pPr>
            <w:r w:rsidRPr="00F54914">
              <w:rPr>
                <w:rFonts w:eastAsia="Times New Roman" w:cs="Times New Roman"/>
                <w:lang w:eastAsia="en-GB"/>
              </w:rPr>
              <w:t>Waiting prohibited for less than the full 24-hour a day</w:t>
            </w:r>
          </w:p>
        </w:tc>
      </w:tr>
      <w:tr w:rsidR="00F54914" w:rsidRPr="00F54914" w14:paraId="721CB11B" w14:textId="77777777" w:rsidTr="00F54914">
        <w:tc>
          <w:tcPr>
            <w:tcW w:w="0" w:type="auto"/>
            <w:tcBorders>
              <w:top w:val="single" w:sz="6" w:space="0" w:color="DADADA"/>
              <w:left w:val="single" w:sz="6" w:space="0" w:color="DADADA"/>
              <w:bottom w:val="single" w:sz="6" w:space="0" w:color="DADADA"/>
              <w:right w:val="single" w:sz="6" w:space="0" w:color="DADADA"/>
            </w:tcBorders>
            <w:shd w:val="clear" w:color="auto" w:fill="auto"/>
            <w:hideMark/>
          </w:tcPr>
          <w:p w14:paraId="780B72AB" w14:textId="77777777" w:rsidR="00F54914" w:rsidRPr="00F54914" w:rsidRDefault="00F54914" w:rsidP="00F54914">
            <w:pPr>
              <w:rPr>
                <w:rFonts w:eastAsia="Times New Roman" w:cs="Times New Roman"/>
                <w:lang w:eastAsia="en-GB"/>
              </w:rPr>
            </w:pPr>
            <w:r w:rsidRPr="00F54914">
              <w:rPr>
                <w:rFonts w:eastAsia="Times New Roman" w:cs="Times New Roman"/>
                <w:lang w:eastAsia="en-GB"/>
              </w:rPr>
              <w:t>Double yellow lines</w:t>
            </w:r>
          </w:p>
        </w:tc>
        <w:tc>
          <w:tcPr>
            <w:tcW w:w="0" w:type="auto"/>
            <w:tcBorders>
              <w:top w:val="single" w:sz="6" w:space="0" w:color="DADADA"/>
              <w:left w:val="single" w:sz="6" w:space="0" w:color="DADADA"/>
              <w:bottom w:val="single" w:sz="6" w:space="0" w:color="DADADA"/>
              <w:right w:val="single" w:sz="6" w:space="0" w:color="DADADA"/>
            </w:tcBorders>
            <w:shd w:val="clear" w:color="auto" w:fill="auto"/>
            <w:hideMark/>
          </w:tcPr>
          <w:p w14:paraId="6A3AF02C" w14:textId="09A1DD3F" w:rsidR="00F54914" w:rsidRPr="00F54914" w:rsidRDefault="00F54914" w:rsidP="00F54914">
            <w:pPr>
              <w:rPr>
                <w:rFonts w:eastAsia="Times New Roman" w:cs="Times New Roman"/>
                <w:lang w:eastAsia="en-GB"/>
              </w:rPr>
            </w:pPr>
            <w:r w:rsidRPr="00F54914">
              <w:rPr>
                <w:rFonts w:eastAsia="Times New Roman" w:cs="Times New Roman"/>
                <w:lang w:eastAsia="en-GB"/>
              </w:rPr>
              <w:t xml:space="preserve">Waiting prohibited 24 hours a day, seven days a </w:t>
            </w:r>
            <w:proofErr w:type="gramStart"/>
            <w:r w:rsidRPr="00F54914">
              <w:rPr>
                <w:rFonts w:eastAsia="Times New Roman" w:cs="Times New Roman"/>
                <w:lang w:eastAsia="en-GB"/>
              </w:rPr>
              <w:t xml:space="preserve">week, </w:t>
            </w:r>
            <w:r>
              <w:rPr>
                <w:rFonts w:eastAsia="Times New Roman" w:cs="Times New Roman"/>
                <w:lang w:eastAsia="en-GB"/>
              </w:rPr>
              <w:t xml:space="preserve"> </w:t>
            </w:r>
            <w:r w:rsidRPr="00F54914">
              <w:rPr>
                <w:rFonts w:eastAsia="Times New Roman" w:cs="Times New Roman"/>
                <w:lang w:eastAsia="en-GB"/>
              </w:rPr>
              <w:t>east</w:t>
            </w:r>
            <w:proofErr w:type="gramEnd"/>
            <w:r w:rsidRPr="00F54914">
              <w:rPr>
                <w:rFonts w:eastAsia="Times New Roman" w:cs="Times New Roman"/>
                <w:lang w:eastAsia="en-GB"/>
              </w:rPr>
              <w:t xml:space="preserve"> four</w:t>
            </w:r>
          </w:p>
        </w:tc>
      </w:tr>
      <w:tr w:rsidR="00F54914" w:rsidRPr="00F54914" w14:paraId="54E7E5D3" w14:textId="77777777" w:rsidTr="00F54914">
        <w:tc>
          <w:tcPr>
            <w:tcW w:w="0" w:type="auto"/>
            <w:tcBorders>
              <w:top w:val="single" w:sz="6" w:space="0" w:color="DADADA"/>
              <w:left w:val="single" w:sz="6" w:space="0" w:color="DADADA"/>
              <w:bottom w:val="single" w:sz="6" w:space="0" w:color="DADADA"/>
              <w:right w:val="single" w:sz="6" w:space="0" w:color="DADADA"/>
            </w:tcBorders>
            <w:shd w:val="clear" w:color="auto" w:fill="auto"/>
            <w:hideMark/>
          </w:tcPr>
          <w:p w14:paraId="51C352F1" w14:textId="77777777" w:rsidR="00F54914" w:rsidRPr="00F54914" w:rsidRDefault="00F54914" w:rsidP="00F54914">
            <w:pPr>
              <w:rPr>
                <w:rFonts w:eastAsia="Times New Roman" w:cs="Times New Roman"/>
                <w:lang w:eastAsia="en-GB"/>
              </w:rPr>
            </w:pPr>
            <w:r w:rsidRPr="00F54914">
              <w:rPr>
                <w:rFonts w:eastAsia="Times New Roman" w:cs="Times New Roman"/>
                <w:lang w:eastAsia="en-GB"/>
              </w:rPr>
              <w:t>A bay marked in broken white lines</w:t>
            </w:r>
          </w:p>
        </w:tc>
        <w:tc>
          <w:tcPr>
            <w:tcW w:w="0" w:type="auto"/>
            <w:tcBorders>
              <w:top w:val="single" w:sz="6" w:space="0" w:color="DADADA"/>
              <w:left w:val="single" w:sz="6" w:space="0" w:color="DADADA"/>
              <w:bottom w:val="single" w:sz="6" w:space="0" w:color="DADADA"/>
              <w:right w:val="single" w:sz="6" w:space="0" w:color="DADADA"/>
            </w:tcBorders>
            <w:shd w:val="clear" w:color="auto" w:fill="auto"/>
            <w:hideMark/>
          </w:tcPr>
          <w:p w14:paraId="4D51C463" w14:textId="77777777" w:rsidR="00F54914" w:rsidRPr="00F54914" w:rsidRDefault="00F54914" w:rsidP="00F54914">
            <w:pPr>
              <w:rPr>
                <w:rFonts w:eastAsia="Times New Roman" w:cs="Times New Roman"/>
                <w:lang w:eastAsia="en-GB"/>
              </w:rPr>
            </w:pPr>
            <w:r w:rsidRPr="00F54914">
              <w:rPr>
                <w:rFonts w:eastAsia="Times New Roman" w:cs="Times New Roman"/>
                <w:lang w:eastAsia="en-GB"/>
              </w:rPr>
              <w:t>Waiting allowed for a limited period</w:t>
            </w:r>
          </w:p>
        </w:tc>
      </w:tr>
    </w:tbl>
    <w:p w14:paraId="5F68C404" w14:textId="77777777" w:rsidR="00F54914" w:rsidRPr="00F54914" w:rsidRDefault="00F54914" w:rsidP="00F54914">
      <w:pPr>
        <w:shd w:val="clear" w:color="auto" w:fill="F8F8F8"/>
        <w:spacing w:after="150"/>
        <w:rPr>
          <w:rFonts w:eastAsia="Times New Roman" w:cs="Arial"/>
          <w:color w:val="394753"/>
          <w:lang w:eastAsia="en-GB"/>
        </w:rPr>
      </w:pPr>
      <w:r w:rsidRPr="00F54914">
        <w:rPr>
          <w:rFonts w:eastAsia="Times New Roman" w:cs="Arial"/>
          <w:color w:val="394753"/>
          <w:lang w:eastAsia="en-GB"/>
        </w:rPr>
        <w:t>Where waiting is permitted at certain times (single yellow line and marked bay), a plate fixed to a post at the roadside carries the “no waiting” symbol and the times when it is permitted. “No waiting” is indicated by circular sign with a blue background, a red perimeter and single red diagonal. Where waiting is prohibited 24 hours a day, there need be no sign.</w:t>
      </w:r>
    </w:p>
    <w:p w14:paraId="5134AAAA" w14:textId="080319D7" w:rsidR="00F54914" w:rsidRPr="00F54914" w:rsidRDefault="00F54914" w:rsidP="00F54914">
      <w:pPr>
        <w:shd w:val="clear" w:color="auto" w:fill="F8F8F8"/>
        <w:spacing w:after="150"/>
        <w:rPr>
          <w:rFonts w:eastAsia="Times New Roman" w:cs="Arial"/>
          <w:color w:val="394753"/>
          <w:lang w:eastAsia="en-GB"/>
        </w:rPr>
      </w:pPr>
      <w:r w:rsidRPr="00F54914">
        <w:rPr>
          <w:rFonts w:eastAsia="Times New Roman" w:cs="Arial"/>
          <w:color w:val="394753"/>
          <w:lang w:eastAsia="en-GB"/>
        </w:rPr>
        <w:t xml:space="preserve">In a number of </w:t>
      </w:r>
      <w:r>
        <w:rPr>
          <w:rFonts w:eastAsia="Times New Roman" w:cs="Arial"/>
          <w:color w:val="394753"/>
          <w:lang w:eastAsia="en-GB"/>
        </w:rPr>
        <w:t>locations more so cities</w:t>
      </w:r>
      <w:r w:rsidRPr="00F54914">
        <w:rPr>
          <w:rFonts w:eastAsia="Times New Roman" w:cs="Arial"/>
          <w:color w:val="394753"/>
          <w:lang w:eastAsia="en-GB"/>
        </w:rPr>
        <w:t>, yellow lines are replaced on “red routes” by red lines.</w:t>
      </w:r>
    </w:p>
    <w:tbl>
      <w:tblPr>
        <w:tblW w:w="12713" w:type="dxa"/>
        <w:tblCellMar>
          <w:top w:w="15" w:type="dxa"/>
          <w:left w:w="15" w:type="dxa"/>
          <w:bottom w:w="15" w:type="dxa"/>
          <w:right w:w="15" w:type="dxa"/>
        </w:tblCellMar>
        <w:tblLook w:val="04A0" w:firstRow="1" w:lastRow="0" w:firstColumn="1" w:lastColumn="0" w:noHBand="0" w:noVBand="1"/>
      </w:tblPr>
      <w:tblGrid>
        <w:gridCol w:w="4936"/>
        <w:gridCol w:w="7707"/>
        <w:gridCol w:w="70"/>
      </w:tblGrid>
      <w:tr w:rsidR="00F54914" w:rsidRPr="00F54914" w14:paraId="5CCBAB46" w14:textId="77777777" w:rsidTr="00F54914">
        <w:tc>
          <w:tcPr>
            <w:tcW w:w="0" w:type="auto"/>
            <w:vMerge w:val="restart"/>
            <w:tcBorders>
              <w:top w:val="single" w:sz="6" w:space="0" w:color="DADADA"/>
              <w:left w:val="single" w:sz="6" w:space="0" w:color="DADADA"/>
              <w:bottom w:val="single" w:sz="6" w:space="0" w:color="DADADA"/>
              <w:right w:val="single" w:sz="6" w:space="0" w:color="DADADA"/>
            </w:tcBorders>
            <w:shd w:val="clear" w:color="auto" w:fill="auto"/>
            <w:hideMark/>
          </w:tcPr>
          <w:p w14:paraId="6C841419" w14:textId="77777777" w:rsidR="00F54914" w:rsidRPr="00F54914" w:rsidRDefault="00F54914" w:rsidP="00F54914">
            <w:pPr>
              <w:rPr>
                <w:rFonts w:ascii="Times New Roman" w:eastAsia="Times New Roman" w:hAnsi="Times New Roman" w:cs="Times New Roman"/>
                <w:sz w:val="24"/>
                <w:szCs w:val="24"/>
                <w:lang w:eastAsia="en-GB"/>
              </w:rPr>
            </w:pPr>
            <w:r w:rsidRPr="00F54914">
              <w:rPr>
                <w:rFonts w:ascii="Times New Roman" w:eastAsia="Times New Roman" w:hAnsi="Times New Roman" w:cs="Times New Roman"/>
                <w:noProof/>
                <w:sz w:val="24"/>
                <w:szCs w:val="24"/>
                <w:lang w:eastAsia="en-GB"/>
              </w:rPr>
              <w:drawing>
                <wp:inline distT="0" distB="0" distL="0" distR="0" wp14:anchorId="21215F66" wp14:editId="18558C59">
                  <wp:extent cx="1390650" cy="292735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90650" cy="2927350"/>
                          </a:xfrm>
                          <a:prstGeom prst="rect">
                            <a:avLst/>
                          </a:prstGeom>
                          <a:noFill/>
                          <a:ln>
                            <a:noFill/>
                          </a:ln>
                        </pic:spPr>
                      </pic:pic>
                    </a:graphicData>
                  </a:graphic>
                </wp:inline>
              </w:drawing>
            </w:r>
          </w:p>
        </w:tc>
        <w:tc>
          <w:tcPr>
            <w:tcW w:w="0" w:type="auto"/>
            <w:vMerge w:val="restart"/>
            <w:tcBorders>
              <w:top w:val="single" w:sz="6" w:space="0" w:color="DADADA"/>
              <w:left w:val="single" w:sz="6" w:space="0" w:color="DADADA"/>
              <w:bottom w:val="single" w:sz="6" w:space="0" w:color="DADADA"/>
              <w:right w:val="single" w:sz="6" w:space="0" w:color="DADADA"/>
            </w:tcBorders>
            <w:shd w:val="clear" w:color="auto" w:fill="auto"/>
            <w:hideMark/>
          </w:tcPr>
          <w:p w14:paraId="2203E2D8" w14:textId="77777777" w:rsidR="00F54914" w:rsidRPr="00F54914" w:rsidRDefault="00F54914" w:rsidP="00F54914">
            <w:pPr>
              <w:rPr>
                <w:rFonts w:ascii="Times New Roman" w:eastAsia="Times New Roman" w:hAnsi="Times New Roman" w:cs="Times New Roman"/>
                <w:sz w:val="24"/>
                <w:szCs w:val="24"/>
                <w:lang w:eastAsia="en-GB"/>
              </w:rPr>
            </w:pPr>
            <w:r w:rsidRPr="00F54914">
              <w:rPr>
                <w:rFonts w:ascii="Times New Roman" w:eastAsia="Times New Roman" w:hAnsi="Times New Roman" w:cs="Times New Roman"/>
                <w:noProof/>
                <w:sz w:val="24"/>
                <w:szCs w:val="24"/>
                <w:lang w:eastAsia="en-GB"/>
              </w:rPr>
              <w:drawing>
                <wp:inline distT="0" distB="0" distL="0" distR="0" wp14:anchorId="24F5DFF7" wp14:editId="079DD1F6">
                  <wp:extent cx="1003300" cy="2927350"/>
                  <wp:effectExtent l="0" t="0" r="635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03300" cy="2927350"/>
                          </a:xfrm>
                          <a:prstGeom prst="rect">
                            <a:avLst/>
                          </a:prstGeom>
                          <a:noFill/>
                          <a:ln>
                            <a:noFill/>
                          </a:ln>
                        </pic:spPr>
                      </pic:pic>
                    </a:graphicData>
                  </a:graphic>
                </wp:inline>
              </w:drawing>
            </w:r>
          </w:p>
        </w:tc>
        <w:tc>
          <w:tcPr>
            <w:tcW w:w="0" w:type="auto"/>
            <w:tcBorders>
              <w:top w:val="single" w:sz="6" w:space="0" w:color="DADADA"/>
              <w:left w:val="single" w:sz="6" w:space="0" w:color="DADADA"/>
              <w:bottom w:val="single" w:sz="6" w:space="0" w:color="DADADA"/>
              <w:right w:val="single" w:sz="6" w:space="0" w:color="DADADA"/>
            </w:tcBorders>
            <w:shd w:val="clear" w:color="auto" w:fill="auto"/>
            <w:hideMark/>
          </w:tcPr>
          <w:p w14:paraId="0A223158" w14:textId="7865D751" w:rsidR="00F54914" w:rsidRPr="00F54914" w:rsidRDefault="00F54914" w:rsidP="00F54914">
            <w:pPr>
              <w:rPr>
                <w:rFonts w:ascii="Times New Roman" w:eastAsia="Times New Roman" w:hAnsi="Times New Roman" w:cs="Times New Roman"/>
                <w:sz w:val="24"/>
                <w:szCs w:val="24"/>
                <w:lang w:eastAsia="en-GB"/>
              </w:rPr>
            </w:pPr>
          </w:p>
        </w:tc>
      </w:tr>
      <w:tr w:rsidR="00F54914" w:rsidRPr="00F54914" w14:paraId="04832D50" w14:textId="77777777" w:rsidTr="00F54914">
        <w:tc>
          <w:tcPr>
            <w:tcW w:w="0" w:type="auto"/>
            <w:vMerge/>
            <w:tcBorders>
              <w:top w:val="single" w:sz="6" w:space="0" w:color="DADADA"/>
              <w:left w:val="single" w:sz="6" w:space="0" w:color="DADADA"/>
              <w:bottom w:val="single" w:sz="6" w:space="0" w:color="DADADA"/>
              <w:right w:val="single" w:sz="6" w:space="0" w:color="DADADA"/>
            </w:tcBorders>
            <w:shd w:val="clear" w:color="auto" w:fill="auto"/>
            <w:vAlign w:val="center"/>
            <w:hideMark/>
          </w:tcPr>
          <w:p w14:paraId="0C768003" w14:textId="77777777" w:rsidR="00F54914" w:rsidRPr="00F54914" w:rsidRDefault="00F54914" w:rsidP="00F54914">
            <w:pPr>
              <w:rPr>
                <w:rFonts w:ascii="Times New Roman" w:eastAsia="Times New Roman" w:hAnsi="Times New Roman" w:cs="Times New Roman"/>
                <w:sz w:val="24"/>
                <w:szCs w:val="24"/>
                <w:lang w:eastAsia="en-GB"/>
              </w:rPr>
            </w:pPr>
          </w:p>
        </w:tc>
        <w:tc>
          <w:tcPr>
            <w:tcW w:w="0" w:type="auto"/>
            <w:vMerge/>
            <w:tcBorders>
              <w:top w:val="single" w:sz="6" w:space="0" w:color="DADADA"/>
              <w:left w:val="single" w:sz="6" w:space="0" w:color="DADADA"/>
              <w:bottom w:val="single" w:sz="6" w:space="0" w:color="DADADA"/>
              <w:right w:val="single" w:sz="6" w:space="0" w:color="DADADA"/>
            </w:tcBorders>
            <w:shd w:val="clear" w:color="auto" w:fill="auto"/>
            <w:vAlign w:val="center"/>
            <w:hideMark/>
          </w:tcPr>
          <w:p w14:paraId="3919B5ED" w14:textId="77777777" w:rsidR="00F54914" w:rsidRPr="00F54914" w:rsidRDefault="00F54914" w:rsidP="00F54914">
            <w:pPr>
              <w:rPr>
                <w:rFonts w:ascii="Times New Roman" w:eastAsia="Times New Roman" w:hAnsi="Times New Roman" w:cs="Times New Roman"/>
                <w:sz w:val="24"/>
                <w:szCs w:val="24"/>
                <w:lang w:eastAsia="en-GB"/>
              </w:rPr>
            </w:pPr>
          </w:p>
        </w:tc>
        <w:tc>
          <w:tcPr>
            <w:tcW w:w="0" w:type="auto"/>
            <w:tcBorders>
              <w:top w:val="single" w:sz="6" w:space="0" w:color="DADADA"/>
              <w:left w:val="single" w:sz="6" w:space="0" w:color="DADADA"/>
              <w:bottom w:val="single" w:sz="6" w:space="0" w:color="DADADA"/>
              <w:right w:val="single" w:sz="6" w:space="0" w:color="DADADA"/>
            </w:tcBorders>
            <w:shd w:val="clear" w:color="auto" w:fill="auto"/>
            <w:hideMark/>
          </w:tcPr>
          <w:p w14:paraId="2A651FD6" w14:textId="4BDD006B" w:rsidR="00F54914" w:rsidRPr="00F54914" w:rsidRDefault="00F54914" w:rsidP="00F54914">
            <w:pPr>
              <w:rPr>
                <w:rFonts w:ascii="Times New Roman" w:eastAsia="Times New Roman" w:hAnsi="Times New Roman" w:cs="Times New Roman"/>
                <w:sz w:val="24"/>
                <w:szCs w:val="24"/>
                <w:lang w:eastAsia="en-GB"/>
              </w:rPr>
            </w:pPr>
          </w:p>
        </w:tc>
      </w:tr>
      <w:tr w:rsidR="00F54914" w:rsidRPr="00F54914" w14:paraId="3B9CFC12" w14:textId="77777777" w:rsidTr="00F54914">
        <w:tc>
          <w:tcPr>
            <w:tcW w:w="0" w:type="auto"/>
            <w:tcBorders>
              <w:top w:val="single" w:sz="6" w:space="0" w:color="DADADA"/>
              <w:left w:val="single" w:sz="6" w:space="0" w:color="DADADA"/>
              <w:bottom w:val="single" w:sz="6" w:space="0" w:color="DADADA"/>
              <w:right w:val="single" w:sz="6" w:space="0" w:color="DADADA"/>
            </w:tcBorders>
            <w:shd w:val="clear" w:color="auto" w:fill="auto"/>
            <w:hideMark/>
          </w:tcPr>
          <w:p w14:paraId="376DFE00" w14:textId="77777777" w:rsidR="00F54914" w:rsidRPr="00F54914" w:rsidRDefault="00F54914" w:rsidP="00F54914">
            <w:pPr>
              <w:rPr>
                <w:rFonts w:eastAsia="Times New Roman" w:cs="Times New Roman"/>
                <w:lang w:eastAsia="en-GB"/>
              </w:rPr>
            </w:pPr>
            <w:r w:rsidRPr="00F54914">
              <w:rPr>
                <w:rFonts w:eastAsia="Times New Roman" w:cs="Times New Roman"/>
                <w:lang w:eastAsia="en-GB"/>
              </w:rPr>
              <w:t>No waiting at any time</w:t>
            </w:r>
          </w:p>
        </w:tc>
        <w:tc>
          <w:tcPr>
            <w:tcW w:w="0" w:type="auto"/>
            <w:tcBorders>
              <w:top w:val="single" w:sz="6" w:space="0" w:color="DADADA"/>
              <w:left w:val="single" w:sz="6" w:space="0" w:color="DADADA"/>
              <w:bottom w:val="single" w:sz="6" w:space="0" w:color="DADADA"/>
              <w:right w:val="single" w:sz="6" w:space="0" w:color="DADADA"/>
            </w:tcBorders>
            <w:shd w:val="clear" w:color="auto" w:fill="auto"/>
            <w:hideMark/>
          </w:tcPr>
          <w:p w14:paraId="11B618B9" w14:textId="77777777" w:rsidR="00F54914" w:rsidRPr="00F54914" w:rsidRDefault="00F54914" w:rsidP="00F54914">
            <w:pPr>
              <w:rPr>
                <w:rFonts w:eastAsia="Times New Roman" w:cs="Times New Roman"/>
                <w:lang w:eastAsia="en-GB"/>
              </w:rPr>
            </w:pPr>
            <w:r w:rsidRPr="00F54914">
              <w:rPr>
                <w:rFonts w:eastAsia="Times New Roman" w:cs="Times New Roman"/>
                <w:lang w:eastAsia="en-GB"/>
              </w:rPr>
              <w:t>No waiting between times indicated</w:t>
            </w:r>
          </w:p>
        </w:tc>
        <w:tc>
          <w:tcPr>
            <w:tcW w:w="0" w:type="auto"/>
            <w:tcBorders>
              <w:top w:val="single" w:sz="6" w:space="0" w:color="DADADA"/>
              <w:left w:val="single" w:sz="6" w:space="0" w:color="DADADA"/>
              <w:bottom w:val="single" w:sz="6" w:space="0" w:color="DADADA"/>
              <w:right w:val="single" w:sz="6" w:space="0" w:color="DADADA"/>
            </w:tcBorders>
            <w:shd w:val="clear" w:color="auto" w:fill="auto"/>
            <w:hideMark/>
          </w:tcPr>
          <w:p w14:paraId="11DF3911" w14:textId="4E7F5711" w:rsidR="00F54914" w:rsidRPr="00F54914" w:rsidRDefault="00F54914" w:rsidP="00F54914">
            <w:pPr>
              <w:rPr>
                <w:rFonts w:ascii="Times New Roman" w:eastAsia="Times New Roman" w:hAnsi="Times New Roman" w:cs="Times New Roman"/>
                <w:sz w:val="24"/>
                <w:szCs w:val="24"/>
                <w:lang w:eastAsia="en-GB"/>
              </w:rPr>
            </w:pPr>
          </w:p>
        </w:tc>
      </w:tr>
    </w:tbl>
    <w:p w14:paraId="7583E22B" w14:textId="77777777" w:rsidR="00F54914" w:rsidRPr="00F54914" w:rsidRDefault="00F54914" w:rsidP="00F54914">
      <w:pPr>
        <w:shd w:val="clear" w:color="auto" w:fill="F8F8F8"/>
        <w:spacing w:after="150"/>
        <w:rPr>
          <w:rFonts w:eastAsia="Times New Roman" w:cs="Arial"/>
          <w:color w:val="394753"/>
          <w:lang w:eastAsia="en-GB"/>
        </w:rPr>
      </w:pPr>
      <w:r w:rsidRPr="00F54914">
        <w:rPr>
          <w:rFonts w:eastAsia="Times New Roman" w:cs="Arial"/>
          <w:color w:val="394753"/>
          <w:lang w:eastAsia="en-GB"/>
        </w:rPr>
        <w:lastRenderedPageBreak/>
        <w:t xml:space="preserve">“No Waiting” restrictions can vary in different towns and </w:t>
      </w:r>
      <w:proofErr w:type="gramStart"/>
      <w:r w:rsidRPr="00F54914">
        <w:rPr>
          <w:rFonts w:eastAsia="Times New Roman" w:cs="Arial"/>
          <w:color w:val="394753"/>
          <w:lang w:eastAsia="en-GB"/>
        </w:rPr>
        <w:t>cities</w:t>
      </w:r>
      <w:proofErr w:type="gramEnd"/>
      <w:r w:rsidRPr="00F54914">
        <w:rPr>
          <w:rFonts w:eastAsia="Times New Roman" w:cs="Arial"/>
          <w:color w:val="394753"/>
          <w:lang w:eastAsia="en-GB"/>
        </w:rPr>
        <w:t xml:space="preserve"> and it is wrong to assume that the provisions always have the same meaning.</w:t>
      </w:r>
    </w:p>
    <w:p w14:paraId="5F887EEF" w14:textId="77777777" w:rsidR="00F54914" w:rsidRPr="00F54914" w:rsidRDefault="00F54914" w:rsidP="00F54914">
      <w:pPr>
        <w:shd w:val="clear" w:color="auto" w:fill="F8F8F8"/>
        <w:rPr>
          <w:rFonts w:eastAsia="Times New Roman" w:cs="Arial"/>
          <w:color w:val="394753"/>
          <w:lang w:eastAsia="en-GB"/>
        </w:rPr>
      </w:pPr>
      <w:r w:rsidRPr="00F54914">
        <w:rPr>
          <w:rFonts w:eastAsia="Times New Roman" w:cs="Arial"/>
          <w:color w:val="394753"/>
          <w:lang w:eastAsia="en-GB"/>
        </w:rPr>
        <w:t>Unless loading is specifically prohibited (see below), these schemes invariably contain an exemption allowing vehicles to pick up and put down goods, usually for a maximum period of 20 minutes. The exemption does not permit waiting for other purposes such as drivers’ breaks for rest and refreshment.</w:t>
      </w:r>
    </w:p>
    <w:p w14:paraId="127A85A5" w14:textId="77777777" w:rsidR="00F54914" w:rsidRPr="00F54914" w:rsidRDefault="00F54914" w:rsidP="00F54914">
      <w:pPr>
        <w:shd w:val="clear" w:color="auto" w:fill="F8F8F8"/>
        <w:spacing w:before="100" w:beforeAutospacing="1" w:after="100" w:afterAutospacing="1"/>
        <w:outlineLvl w:val="3"/>
        <w:rPr>
          <w:rFonts w:ascii="Arial" w:eastAsia="Times New Roman" w:hAnsi="Arial" w:cs="Arial"/>
          <w:color w:val="394753"/>
          <w:sz w:val="24"/>
          <w:szCs w:val="24"/>
          <w:lang w:eastAsia="en-GB"/>
        </w:rPr>
      </w:pPr>
      <w:r w:rsidRPr="00F54914">
        <w:rPr>
          <w:rFonts w:ascii="Arial" w:eastAsia="Times New Roman" w:hAnsi="Arial" w:cs="Arial"/>
          <w:color w:val="394753"/>
          <w:sz w:val="24"/>
          <w:szCs w:val="24"/>
          <w:lang w:eastAsia="en-GB"/>
        </w:rPr>
        <w:t>Loading and unloading restrictions</w:t>
      </w:r>
    </w:p>
    <w:p w14:paraId="0165D739" w14:textId="77777777" w:rsidR="00F54914" w:rsidRPr="00F54914" w:rsidRDefault="00F54914" w:rsidP="00F54914">
      <w:pPr>
        <w:shd w:val="clear" w:color="auto" w:fill="F8F8F8"/>
        <w:spacing w:after="150"/>
        <w:rPr>
          <w:rFonts w:eastAsia="Times New Roman" w:cs="Arial"/>
          <w:color w:val="394753"/>
          <w:lang w:eastAsia="en-GB"/>
        </w:rPr>
      </w:pPr>
      <w:r w:rsidRPr="00F54914">
        <w:rPr>
          <w:rFonts w:eastAsia="Times New Roman" w:cs="Arial"/>
          <w:color w:val="394753"/>
          <w:lang w:eastAsia="en-GB"/>
        </w:rPr>
        <w:t>Loading and unloading restrictions are indicated by yellow marks on the edge of the kerb and a plate fixed to a post at the roadside.</w:t>
      </w:r>
    </w:p>
    <w:p w14:paraId="3AFE55BD" w14:textId="77777777" w:rsidR="00F54914" w:rsidRPr="00F54914" w:rsidRDefault="00F54914" w:rsidP="00F54914">
      <w:pPr>
        <w:shd w:val="clear" w:color="auto" w:fill="F8F8F8"/>
        <w:spacing w:after="150"/>
        <w:rPr>
          <w:rFonts w:eastAsia="Times New Roman" w:cs="Arial"/>
          <w:color w:val="394753"/>
          <w:lang w:eastAsia="en-GB"/>
        </w:rPr>
      </w:pPr>
      <w:r w:rsidRPr="00F54914">
        <w:rPr>
          <w:rFonts w:eastAsia="Times New Roman" w:cs="Arial"/>
          <w:color w:val="394753"/>
          <w:lang w:eastAsia="en-GB"/>
        </w:rPr>
        <w:t>Loading and unloading is defined as including activities away from the vehicle.</w:t>
      </w:r>
    </w:p>
    <w:tbl>
      <w:tblPr>
        <w:tblW w:w="12713" w:type="dxa"/>
        <w:tblCellMar>
          <w:top w:w="15" w:type="dxa"/>
          <w:left w:w="15" w:type="dxa"/>
          <w:bottom w:w="15" w:type="dxa"/>
          <w:right w:w="15" w:type="dxa"/>
        </w:tblCellMar>
        <w:tblLook w:val="04A0" w:firstRow="1" w:lastRow="0" w:firstColumn="1" w:lastColumn="0" w:noHBand="0" w:noVBand="1"/>
      </w:tblPr>
      <w:tblGrid>
        <w:gridCol w:w="4976"/>
        <w:gridCol w:w="7737"/>
      </w:tblGrid>
      <w:tr w:rsidR="00F54914" w:rsidRPr="00F54914" w14:paraId="52901467" w14:textId="77777777" w:rsidTr="00F54914">
        <w:tc>
          <w:tcPr>
            <w:tcW w:w="0" w:type="auto"/>
            <w:tcBorders>
              <w:top w:val="single" w:sz="6" w:space="0" w:color="DADADA"/>
              <w:left w:val="single" w:sz="6" w:space="0" w:color="DADADA"/>
              <w:bottom w:val="single" w:sz="6" w:space="0" w:color="DADADA"/>
              <w:right w:val="single" w:sz="6" w:space="0" w:color="DADADA"/>
            </w:tcBorders>
            <w:shd w:val="clear" w:color="auto" w:fill="auto"/>
            <w:hideMark/>
          </w:tcPr>
          <w:p w14:paraId="4A2BF7B2" w14:textId="77777777" w:rsidR="00F54914" w:rsidRPr="00F54914" w:rsidRDefault="00F54914" w:rsidP="00F54914">
            <w:pPr>
              <w:rPr>
                <w:rFonts w:eastAsia="Times New Roman" w:cs="Times New Roman"/>
                <w:lang w:eastAsia="en-GB"/>
              </w:rPr>
            </w:pPr>
            <w:r w:rsidRPr="00F54914">
              <w:rPr>
                <w:rFonts w:eastAsia="Times New Roman" w:cs="Times New Roman"/>
                <w:b/>
                <w:bCs/>
                <w:lang w:eastAsia="en-GB"/>
              </w:rPr>
              <w:t>Kerb marking</w:t>
            </w:r>
          </w:p>
        </w:tc>
        <w:tc>
          <w:tcPr>
            <w:tcW w:w="0" w:type="auto"/>
            <w:tcBorders>
              <w:top w:val="single" w:sz="6" w:space="0" w:color="DADADA"/>
              <w:left w:val="single" w:sz="6" w:space="0" w:color="DADADA"/>
              <w:bottom w:val="single" w:sz="6" w:space="0" w:color="DADADA"/>
              <w:right w:val="single" w:sz="6" w:space="0" w:color="DADADA"/>
            </w:tcBorders>
            <w:shd w:val="clear" w:color="auto" w:fill="auto"/>
            <w:hideMark/>
          </w:tcPr>
          <w:p w14:paraId="13CA4A46" w14:textId="77777777" w:rsidR="00F54914" w:rsidRPr="00F54914" w:rsidRDefault="00F54914" w:rsidP="00F54914">
            <w:pPr>
              <w:rPr>
                <w:rFonts w:eastAsia="Times New Roman" w:cs="Times New Roman"/>
                <w:lang w:eastAsia="en-GB"/>
              </w:rPr>
            </w:pPr>
            <w:r w:rsidRPr="00F54914">
              <w:rPr>
                <w:rFonts w:eastAsia="Times New Roman" w:cs="Times New Roman"/>
                <w:b/>
                <w:bCs/>
                <w:lang w:eastAsia="en-GB"/>
              </w:rPr>
              <w:t>Restriction</w:t>
            </w:r>
          </w:p>
        </w:tc>
      </w:tr>
      <w:tr w:rsidR="00F54914" w:rsidRPr="00F54914" w14:paraId="38F11E43" w14:textId="77777777" w:rsidTr="00F54914">
        <w:tc>
          <w:tcPr>
            <w:tcW w:w="0" w:type="auto"/>
            <w:tcBorders>
              <w:top w:val="single" w:sz="6" w:space="0" w:color="DADADA"/>
              <w:left w:val="single" w:sz="6" w:space="0" w:color="DADADA"/>
              <w:bottom w:val="single" w:sz="6" w:space="0" w:color="DADADA"/>
              <w:right w:val="single" w:sz="6" w:space="0" w:color="DADADA"/>
            </w:tcBorders>
            <w:shd w:val="clear" w:color="auto" w:fill="auto"/>
            <w:hideMark/>
          </w:tcPr>
          <w:p w14:paraId="7C6B9D5D" w14:textId="77777777" w:rsidR="00F54914" w:rsidRPr="00F54914" w:rsidRDefault="00F54914" w:rsidP="00F54914">
            <w:pPr>
              <w:rPr>
                <w:rFonts w:eastAsia="Times New Roman" w:cs="Times New Roman"/>
                <w:lang w:eastAsia="en-GB"/>
              </w:rPr>
            </w:pPr>
            <w:r w:rsidRPr="00F54914">
              <w:rPr>
                <w:rFonts w:eastAsia="Times New Roman" w:cs="Times New Roman"/>
                <w:lang w:eastAsia="en-GB"/>
              </w:rPr>
              <w:t>Single yellow marks at kerbside</w:t>
            </w:r>
          </w:p>
        </w:tc>
        <w:tc>
          <w:tcPr>
            <w:tcW w:w="0" w:type="auto"/>
            <w:tcBorders>
              <w:top w:val="single" w:sz="6" w:space="0" w:color="DADADA"/>
              <w:left w:val="single" w:sz="6" w:space="0" w:color="DADADA"/>
              <w:bottom w:val="single" w:sz="6" w:space="0" w:color="DADADA"/>
              <w:right w:val="single" w:sz="6" w:space="0" w:color="DADADA"/>
            </w:tcBorders>
            <w:shd w:val="clear" w:color="auto" w:fill="auto"/>
            <w:hideMark/>
          </w:tcPr>
          <w:p w14:paraId="0A6421D8" w14:textId="2E956A65" w:rsidR="00F54914" w:rsidRDefault="00F54914" w:rsidP="00F54914">
            <w:pPr>
              <w:rPr>
                <w:rFonts w:eastAsia="Times New Roman" w:cs="Times New Roman"/>
                <w:lang w:eastAsia="en-GB"/>
              </w:rPr>
            </w:pPr>
            <w:r w:rsidRPr="00F54914">
              <w:rPr>
                <w:rFonts w:eastAsia="Times New Roman" w:cs="Times New Roman"/>
                <w:lang w:eastAsia="en-GB"/>
              </w:rPr>
              <w:t xml:space="preserve">No loading or unloading at peak hours </w:t>
            </w:r>
            <w:r w:rsidR="00210D41">
              <w:rPr>
                <w:rFonts w:eastAsia="Times New Roman" w:cs="Times New Roman"/>
                <w:lang w:eastAsia="en-GB"/>
              </w:rPr>
              <w:t xml:space="preserve">as indicated </w:t>
            </w:r>
          </w:p>
          <w:p w14:paraId="52289AB0" w14:textId="0160809B" w:rsidR="00210D41" w:rsidRDefault="00210D41" w:rsidP="00F54914">
            <w:pPr>
              <w:rPr>
                <w:rFonts w:eastAsia="Times New Roman" w:cs="Times New Roman"/>
                <w:lang w:eastAsia="en-GB"/>
              </w:rPr>
            </w:pPr>
            <w:r>
              <w:rPr>
                <w:rFonts w:eastAsia="Times New Roman" w:cs="Times New Roman"/>
                <w:lang w:eastAsia="en-GB"/>
              </w:rPr>
              <w:t>By road side plates</w:t>
            </w:r>
          </w:p>
          <w:p w14:paraId="4780F2D8" w14:textId="10C5ABFF" w:rsidR="00210D41" w:rsidRPr="00F54914" w:rsidRDefault="00210D41" w:rsidP="00F54914">
            <w:pPr>
              <w:rPr>
                <w:rFonts w:eastAsia="Times New Roman" w:cs="Times New Roman"/>
                <w:lang w:eastAsia="en-GB"/>
              </w:rPr>
            </w:pPr>
          </w:p>
        </w:tc>
      </w:tr>
      <w:tr w:rsidR="00F54914" w:rsidRPr="00F54914" w14:paraId="1EB4B432" w14:textId="77777777" w:rsidTr="00F54914">
        <w:tc>
          <w:tcPr>
            <w:tcW w:w="0" w:type="auto"/>
            <w:tcBorders>
              <w:top w:val="single" w:sz="6" w:space="0" w:color="DADADA"/>
              <w:left w:val="single" w:sz="6" w:space="0" w:color="DADADA"/>
              <w:bottom w:val="single" w:sz="6" w:space="0" w:color="DADADA"/>
              <w:right w:val="single" w:sz="6" w:space="0" w:color="DADADA"/>
            </w:tcBorders>
            <w:shd w:val="clear" w:color="auto" w:fill="auto"/>
            <w:hideMark/>
          </w:tcPr>
          <w:p w14:paraId="1522C95C" w14:textId="77777777" w:rsidR="00F54914" w:rsidRPr="00F54914" w:rsidRDefault="00F54914" w:rsidP="00F54914">
            <w:pPr>
              <w:rPr>
                <w:rFonts w:eastAsia="Times New Roman" w:cs="Times New Roman"/>
                <w:lang w:eastAsia="en-GB"/>
              </w:rPr>
            </w:pPr>
            <w:r w:rsidRPr="00F54914">
              <w:rPr>
                <w:rFonts w:eastAsia="Times New Roman" w:cs="Times New Roman"/>
                <w:lang w:eastAsia="en-GB"/>
              </w:rPr>
              <w:t>Double yellow marks at kerbside</w:t>
            </w:r>
          </w:p>
        </w:tc>
        <w:tc>
          <w:tcPr>
            <w:tcW w:w="0" w:type="auto"/>
            <w:tcBorders>
              <w:top w:val="single" w:sz="6" w:space="0" w:color="DADADA"/>
              <w:left w:val="single" w:sz="6" w:space="0" w:color="DADADA"/>
              <w:bottom w:val="single" w:sz="6" w:space="0" w:color="DADADA"/>
              <w:right w:val="single" w:sz="6" w:space="0" w:color="DADADA"/>
            </w:tcBorders>
            <w:shd w:val="clear" w:color="auto" w:fill="auto"/>
            <w:hideMark/>
          </w:tcPr>
          <w:p w14:paraId="729379CD" w14:textId="690C921D" w:rsidR="00F54914" w:rsidRPr="00F54914" w:rsidRDefault="00F54914" w:rsidP="00F54914">
            <w:pPr>
              <w:rPr>
                <w:rFonts w:eastAsia="Times New Roman" w:cs="Times New Roman"/>
                <w:lang w:eastAsia="en-GB"/>
              </w:rPr>
            </w:pPr>
            <w:r w:rsidRPr="00F54914">
              <w:rPr>
                <w:rFonts w:eastAsia="Times New Roman" w:cs="Times New Roman"/>
                <w:lang w:eastAsia="en-GB"/>
              </w:rPr>
              <w:t xml:space="preserve">No loading or unloading </w:t>
            </w:r>
            <w:r w:rsidR="00770E5C">
              <w:rPr>
                <w:rFonts w:eastAsia="Times New Roman" w:cs="Times New Roman"/>
                <w:lang w:eastAsia="en-GB"/>
              </w:rPr>
              <w:t>at any time</w:t>
            </w:r>
            <w:r w:rsidRPr="00F54914">
              <w:rPr>
                <w:rFonts w:eastAsia="Times New Roman" w:cs="Times New Roman"/>
                <w:lang w:eastAsia="en-GB"/>
              </w:rPr>
              <w:t xml:space="preserve"> </w:t>
            </w:r>
          </w:p>
        </w:tc>
      </w:tr>
    </w:tbl>
    <w:p w14:paraId="1571AC6C" w14:textId="77777777" w:rsidR="00F54914" w:rsidRPr="00F54914" w:rsidRDefault="00F54914" w:rsidP="00F54914">
      <w:pPr>
        <w:shd w:val="clear" w:color="auto" w:fill="F8F8F8"/>
        <w:spacing w:after="150"/>
        <w:rPr>
          <w:rFonts w:eastAsia="Times New Roman" w:cs="Arial"/>
          <w:color w:val="394753"/>
          <w:lang w:eastAsia="en-GB"/>
        </w:rPr>
      </w:pPr>
      <w:r w:rsidRPr="00F54914">
        <w:rPr>
          <w:rFonts w:eastAsia="Times New Roman" w:cs="Arial"/>
          <w:color w:val="394753"/>
          <w:lang w:eastAsia="en-GB"/>
        </w:rPr>
        <w:t xml:space="preserve">There are also specially marked bays with broken white lines and the words “LOADING </w:t>
      </w:r>
      <w:proofErr w:type="gramStart"/>
      <w:r w:rsidRPr="00F54914">
        <w:rPr>
          <w:rFonts w:eastAsia="Times New Roman" w:cs="Arial"/>
          <w:color w:val="394753"/>
          <w:lang w:eastAsia="en-GB"/>
        </w:rPr>
        <w:t>ONLY“</w:t>
      </w:r>
      <w:proofErr w:type="gramEnd"/>
      <w:r w:rsidRPr="00F54914">
        <w:rPr>
          <w:rFonts w:eastAsia="Times New Roman" w:cs="Arial"/>
          <w:color w:val="394753"/>
          <w:lang w:eastAsia="en-GB"/>
        </w:rPr>
        <w:t xml:space="preserve">. Loading and unloading is only allowed in parking meter zones provided a gap exists between parking meters or a suitable meter space is available. A meter space can be used for up to 20 minutes without payment of the appropriate fee, provided the vehicle is being loaded or unloaded. However, it is important to note that parking enforcement is under local authority control, so it will depend on the policy of the </w:t>
      </w:r>
      <w:proofErr w:type="gramStart"/>
      <w:r w:rsidRPr="00F54914">
        <w:rPr>
          <w:rFonts w:eastAsia="Times New Roman" w:cs="Arial"/>
          <w:color w:val="394753"/>
          <w:lang w:eastAsia="en-GB"/>
        </w:rPr>
        <w:t>particular authority</w:t>
      </w:r>
      <w:proofErr w:type="gramEnd"/>
      <w:r w:rsidRPr="00F54914">
        <w:rPr>
          <w:rFonts w:eastAsia="Times New Roman" w:cs="Arial"/>
          <w:color w:val="394753"/>
          <w:lang w:eastAsia="en-GB"/>
        </w:rPr>
        <w:t>. The 20-minute rule could be different in some areas.</w:t>
      </w:r>
    </w:p>
    <w:tbl>
      <w:tblPr>
        <w:tblW w:w="12713" w:type="dxa"/>
        <w:tblCellMar>
          <w:top w:w="15" w:type="dxa"/>
          <w:left w:w="15" w:type="dxa"/>
          <w:bottom w:w="15" w:type="dxa"/>
          <w:right w:w="15" w:type="dxa"/>
        </w:tblCellMar>
        <w:tblLook w:val="04A0" w:firstRow="1" w:lastRow="0" w:firstColumn="1" w:lastColumn="0" w:noHBand="0" w:noVBand="1"/>
      </w:tblPr>
      <w:tblGrid>
        <w:gridCol w:w="6323"/>
        <w:gridCol w:w="6322"/>
        <w:gridCol w:w="68"/>
      </w:tblGrid>
      <w:tr w:rsidR="00F54914" w:rsidRPr="00F54914" w14:paraId="1AC435C4" w14:textId="77777777" w:rsidTr="00F54914">
        <w:tc>
          <w:tcPr>
            <w:tcW w:w="0" w:type="auto"/>
            <w:tcBorders>
              <w:top w:val="single" w:sz="6" w:space="0" w:color="DADADA"/>
              <w:left w:val="single" w:sz="6" w:space="0" w:color="DADADA"/>
              <w:bottom w:val="single" w:sz="6" w:space="0" w:color="DADADA"/>
              <w:right w:val="single" w:sz="6" w:space="0" w:color="DADADA"/>
            </w:tcBorders>
            <w:shd w:val="clear" w:color="auto" w:fill="auto"/>
            <w:hideMark/>
          </w:tcPr>
          <w:p w14:paraId="44F05EEF" w14:textId="77777777" w:rsidR="00F54914" w:rsidRPr="00F54914" w:rsidRDefault="00F54914" w:rsidP="00F54914">
            <w:pPr>
              <w:rPr>
                <w:rFonts w:ascii="Times New Roman" w:eastAsia="Times New Roman" w:hAnsi="Times New Roman" w:cs="Times New Roman"/>
                <w:sz w:val="24"/>
                <w:szCs w:val="24"/>
                <w:lang w:eastAsia="en-GB"/>
              </w:rPr>
            </w:pPr>
            <w:r w:rsidRPr="00F54914">
              <w:rPr>
                <w:rFonts w:ascii="Times New Roman" w:eastAsia="Times New Roman" w:hAnsi="Times New Roman" w:cs="Times New Roman"/>
                <w:noProof/>
                <w:sz w:val="24"/>
                <w:szCs w:val="24"/>
                <w:lang w:eastAsia="en-GB"/>
              </w:rPr>
              <w:drawing>
                <wp:inline distT="0" distB="0" distL="0" distR="0" wp14:anchorId="6AC71D69" wp14:editId="73C03862">
                  <wp:extent cx="2095500" cy="946150"/>
                  <wp:effectExtent l="0" t="0" r="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95500" cy="946150"/>
                          </a:xfrm>
                          <a:prstGeom prst="rect">
                            <a:avLst/>
                          </a:prstGeom>
                          <a:noFill/>
                          <a:ln>
                            <a:noFill/>
                          </a:ln>
                        </pic:spPr>
                      </pic:pic>
                    </a:graphicData>
                  </a:graphic>
                </wp:inline>
              </w:drawing>
            </w:r>
          </w:p>
        </w:tc>
        <w:tc>
          <w:tcPr>
            <w:tcW w:w="0" w:type="auto"/>
            <w:tcBorders>
              <w:top w:val="single" w:sz="6" w:space="0" w:color="DADADA"/>
              <w:left w:val="single" w:sz="6" w:space="0" w:color="DADADA"/>
              <w:bottom w:val="single" w:sz="6" w:space="0" w:color="DADADA"/>
              <w:right w:val="single" w:sz="6" w:space="0" w:color="DADADA"/>
            </w:tcBorders>
            <w:shd w:val="clear" w:color="auto" w:fill="auto"/>
            <w:hideMark/>
          </w:tcPr>
          <w:p w14:paraId="5476DD66" w14:textId="77777777" w:rsidR="00F54914" w:rsidRPr="00F54914" w:rsidRDefault="00F54914" w:rsidP="00F54914">
            <w:pPr>
              <w:rPr>
                <w:rFonts w:ascii="Times New Roman" w:eastAsia="Times New Roman" w:hAnsi="Times New Roman" w:cs="Times New Roman"/>
                <w:sz w:val="24"/>
                <w:szCs w:val="24"/>
                <w:lang w:eastAsia="en-GB"/>
              </w:rPr>
            </w:pPr>
            <w:r w:rsidRPr="00F54914">
              <w:rPr>
                <w:rFonts w:ascii="Times New Roman" w:eastAsia="Times New Roman" w:hAnsi="Times New Roman" w:cs="Times New Roman"/>
                <w:noProof/>
                <w:sz w:val="24"/>
                <w:szCs w:val="24"/>
                <w:lang w:eastAsia="en-GB"/>
              </w:rPr>
              <w:drawing>
                <wp:inline distT="0" distB="0" distL="0" distR="0" wp14:anchorId="303FEF87" wp14:editId="1FD4E57D">
                  <wp:extent cx="2095500" cy="9334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95500" cy="933450"/>
                          </a:xfrm>
                          <a:prstGeom prst="rect">
                            <a:avLst/>
                          </a:prstGeom>
                          <a:noFill/>
                          <a:ln>
                            <a:noFill/>
                          </a:ln>
                        </pic:spPr>
                      </pic:pic>
                    </a:graphicData>
                  </a:graphic>
                </wp:inline>
              </w:drawing>
            </w:r>
          </w:p>
        </w:tc>
        <w:tc>
          <w:tcPr>
            <w:tcW w:w="0" w:type="auto"/>
            <w:tcBorders>
              <w:top w:val="single" w:sz="6" w:space="0" w:color="DADADA"/>
              <w:left w:val="single" w:sz="6" w:space="0" w:color="DADADA"/>
              <w:bottom w:val="single" w:sz="6" w:space="0" w:color="DADADA"/>
              <w:right w:val="single" w:sz="6" w:space="0" w:color="DADADA"/>
            </w:tcBorders>
            <w:shd w:val="clear" w:color="auto" w:fill="auto"/>
            <w:hideMark/>
          </w:tcPr>
          <w:p w14:paraId="6F188571" w14:textId="3F86C7FC" w:rsidR="00F54914" w:rsidRPr="00F54914" w:rsidRDefault="00F54914" w:rsidP="00F54914">
            <w:pPr>
              <w:rPr>
                <w:rFonts w:ascii="Times New Roman" w:eastAsia="Times New Roman" w:hAnsi="Times New Roman" w:cs="Times New Roman"/>
                <w:sz w:val="24"/>
                <w:szCs w:val="24"/>
                <w:lang w:eastAsia="en-GB"/>
              </w:rPr>
            </w:pPr>
          </w:p>
        </w:tc>
      </w:tr>
      <w:tr w:rsidR="00F54914" w:rsidRPr="00F54914" w14:paraId="1463330D" w14:textId="77777777" w:rsidTr="00F54914">
        <w:tc>
          <w:tcPr>
            <w:tcW w:w="0" w:type="auto"/>
            <w:tcBorders>
              <w:top w:val="single" w:sz="6" w:space="0" w:color="DADADA"/>
              <w:left w:val="single" w:sz="6" w:space="0" w:color="DADADA"/>
              <w:bottom w:val="single" w:sz="6" w:space="0" w:color="DADADA"/>
              <w:right w:val="single" w:sz="6" w:space="0" w:color="DADADA"/>
            </w:tcBorders>
            <w:shd w:val="clear" w:color="auto" w:fill="auto"/>
            <w:hideMark/>
          </w:tcPr>
          <w:p w14:paraId="744F6176" w14:textId="77777777" w:rsidR="00F54914" w:rsidRPr="00F54914" w:rsidRDefault="00F54914" w:rsidP="00F54914">
            <w:pPr>
              <w:rPr>
                <w:rFonts w:ascii="Times New Roman" w:eastAsia="Times New Roman" w:hAnsi="Times New Roman" w:cs="Times New Roman"/>
                <w:sz w:val="24"/>
                <w:szCs w:val="24"/>
                <w:lang w:eastAsia="en-GB"/>
              </w:rPr>
            </w:pPr>
            <w:r w:rsidRPr="00F54914">
              <w:rPr>
                <w:rFonts w:ascii="Times New Roman" w:eastAsia="Times New Roman" w:hAnsi="Times New Roman" w:cs="Times New Roman"/>
                <w:noProof/>
                <w:sz w:val="24"/>
                <w:szCs w:val="24"/>
                <w:lang w:eastAsia="en-GB"/>
              </w:rPr>
              <w:drawing>
                <wp:inline distT="0" distB="0" distL="0" distR="0" wp14:anchorId="183A4C87" wp14:editId="0F96A067">
                  <wp:extent cx="2095500" cy="14287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95500" cy="1428750"/>
                          </a:xfrm>
                          <a:prstGeom prst="rect">
                            <a:avLst/>
                          </a:prstGeom>
                          <a:noFill/>
                          <a:ln>
                            <a:noFill/>
                          </a:ln>
                        </pic:spPr>
                      </pic:pic>
                    </a:graphicData>
                  </a:graphic>
                </wp:inline>
              </w:drawing>
            </w:r>
          </w:p>
        </w:tc>
        <w:tc>
          <w:tcPr>
            <w:tcW w:w="0" w:type="auto"/>
            <w:tcBorders>
              <w:top w:val="single" w:sz="6" w:space="0" w:color="DADADA"/>
              <w:left w:val="single" w:sz="6" w:space="0" w:color="DADADA"/>
              <w:bottom w:val="single" w:sz="6" w:space="0" w:color="DADADA"/>
              <w:right w:val="single" w:sz="6" w:space="0" w:color="DADADA"/>
            </w:tcBorders>
            <w:shd w:val="clear" w:color="auto" w:fill="auto"/>
            <w:hideMark/>
          </w:tcPr>
          <w:p w14:paraId="245AF417" w14:textId="77777777" w:rsidR="00F54914" w:rsidRPr="00F54914" w:rsidRDefault="00F54914" w:rsidP="00F54914">
            <w:pPr>
              <w:rPr>
                <w:rFonts w:ascii="Times New Roman" w:eastAsia="Times New Roman" w:hAnsi="Times New Roman" w:cs="Times New Roman"/>
                <w:sz w:val="24"/>
                <w:szCs w:val="24"/>
                <w:lang w:eastAsia="en-GB"/>
              </w:rPr>
            </w:pPr>
            <w:r w:rsidRPr="00F54914">
              <w:rPr>
                <w:rFonts w:ascii="Times New Roman" w:eastAsia="Times New Roman" w:hAnsi="Times New Roman" w:cs="Times New Roman"/>
                <w:noProof/>
                <w:sz w:val="24"/>
                <w:szCs w:val="24"/>
                <w:lang w:eastAsia="en-GB"/>
              </w:rPr>
              <w:drawing>
                <wp:inline distT="0" distB="0" distL="0" distR="0" wp14:anchorId="20943C3A" wp14:editId="71D7485F">
                  <wp:extent cx="2095500" cy="14287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95500" cy="1428750"/>
                          </a:xfrm>
                          <a:prstGeom prst="rect">
                            <a:avLst/>
                          </a:prstGeom>
                          <a:noFill/>
                          <a:ln>
                            <a:noFill/>
                          </a:ln>
                        </pic:spPr>
                      </pic:pic>
                    </a:graphicData>
                  </a:graphic>
                </wp:inline>
              </w:drawing>
            </w:r>
          </w:p>
        </w:tc>
        <w:tc>
          <w:tcPr>
            <w:tcW w:w="0" w:type="auto"/>
            <w:tcBorders>
              <w:top w:val="single" w:sz="6" w:space="0" w:color="DADADA"/>
              <w:left w:val="single" w:sz="6" w:space="0" w:color="DADADA"/>
              <w:bottom w:val="single" w:sz="6" w:space="0" w:color="DADADA"/>
              <w:right w:val="single" w:sz="6" w:space="0" w:color="DADADA"/>
            </w:tcBorders>
            <w:shd w:val="clear" w:color="auto" w:fill="auto"/>
            <w:hideMark/>
          </w:tcPr>
          <w:p w14:paraId="5052D286" w14:textId="30B2E95C" w:rsidR="00F54914" w:rsidRPr="00F54914" w:rsidRDefault="00F54914" w:rsidP="00F54914">
            <w:pPr>
              <w:rPr>
                <w:rFonts w:ascii="Times New Roman" w:eastAsia="Times New Roman" w:hAnsi="Times New Roman" w:cs="Times New Roman"/>
                <w:sz w:val="24"/>
                <w:szCs w:val="24"/>
                <w:lang w:eastAsia="en-GB"/>
              </w:rPr>
            </w:pPr>
          </w:p>
        </w:tc>
      </w:tr>
    </w:tbl>
    <w:p w14:paraId="6A9CEC47" w14:textId="77777777" w:rsidR="00F54914" w:rsidRPr="00F54914" w:rsidRDefault="00F54914" w:rsidP="00F54914">
      <w:pPr>
        <w:shd w:val="clear" w:color="auto" w:fill="F8F8F8"/>
        <w:rPr>
          <w:rFonts w:ascii="Arial" w:eastAsia="Times New Roman" w:hAnsi="Arial" w:cs="Arial"/>
          <w:color w:val="394753"/>
          <w:sz w:val="21"/>
          <w:szCs w:val="21"/>
          <w:lang w:eastAsia="en-GB"/>
        </w:rPr>
      </w:pPr>
      <w:r w:rsidRPr="00F54914">
        <w:rPr>
          <w:rFonts w:eastAsia="Times New Roman" w:cs="Arial"/>
          <w:color w:val="394753"/>
          <w:lang w:eastAsia="en-GB"/>
        </w:rPr>
        <w:t>Even where loading is permitted, a police officer may require the vehicle to be moved if it is causing an obstruction</w:t>
      </w:r>
      <w:r w:rsidRPr="00F54914">
        <w:rPr>
          <w:rFonts w:ascii="Arial" w:eastAsia="Times New Roman" w:hAnsi="Arial" w:cs="Arial"/>
          <w:color w:val="394753"/>
          <w:sz w:val="21"/>
          <w:szCs w:val="21"/>
          <w:lang w:eastAsia="en-GB"/>
        </w:rPr>
        <w:t>.</w:t>
      </w:r>
    </w:p>
    <w:p w14:paraId="1D8167E2" w14:textId="77777777" w:rsidR="00F54914" w:rsidRPr="00BD2E49" w:rsidRDefault="00F54914" w:rsidP="00BD2E49"/>
    <w:sectPr w:rsidR="00F54914" w:rsidRPr="00BD2E49" w:rsidSect="00711B39">
      <w:pgSz w:w="11906" w:h="16838"/>
      <w:pgMar w:top="1440" w:right="1274" w:bottom="144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4BBCDC9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073249B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0E2B84E"/>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A93840C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DFCE829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2B64F7E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1FCBEC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584EF3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9DE4C7F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96A730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5012B8"/>
    <w:multiLevelType w:val="multilevel"/>
    <w:tmpl w:val="2C6CB044"/>
    <w:styleLink w:val="WSNumberedStyle1"/>
    <w:lvl w:ilvl="0">
      <w:start w:val="1"/>
      <w:numFmt w:val="decimal"/>
      <w:lvlText w:val="%1."/>
      <w:lvlJc w:val="left"/>
      <w:pPr>
        <w:ind w:left="357" w:hanging="357"/>
      </w:pPr>
      <w:rPr>
        <w:rFonts w:hint="default"/>
      </w:rPr>
    </w:lvl>
    <w:lvl w:ilvl="1">
      <w:start w:val="1"/>
      <w:numFmt w:val="lowerLetter"/>
      <w:lvlText w:val="%2."/>
      <w:lvlJc w:val="left"/>
      <w:pPr>
        <w:ind w:left="714" w:hanging="357"/>
      </w:pPr>
      <w:rPr>
        <w:rFonts w:hint="default"/>
      </w:rPr>
    </w:lvl>
    <w:lvl w:ilvl="2">
      <w:start w:val="1"/>
      <w:numFmt w:val="bullet"/>
      <w:lvlText w:val=""/>
      <w:lvlJc w:val="left"/>
      <w:pPr>
        <w:ind w:left="1071" w:hanging="357"/>
      </w:pPr>
      <w:rPr>
        <w:rFonts w:ascii="Symbol" w:hAnsi="Symbol" w:hint="default"/>
      </w:rPr>
    </w:lvl>
    <w:lvl w:ilvl="3">
      <w:start w:val="1"/>
      <w:numFmt w:val="decimal"/>
      <w:lvlText w:val="%4."/>
      <w:lvlJc w:val="left"/>
      <w:pPr>
        <w:ind w:left="1428" w:hanging="357"/>
      </w:pPr>
      <w:rPr>
        <w:rFonts w:hint="default"/>
      </w:rPr>
    </w:lvl>
    <w:lvl w:ilvl="4">
      <w:start w:val="1"/>
      <w:numFmt w:val="lowerLetter"/>
      <w:lvlText w:val="%5."/>
      <w:lvlJc w:val="left"/>
      <w:pPr>
        <w:ind w:left="1785" w:hanging="357"/>
      </w:pPr>
      <w:rPr>
        <w:rFonts w:hint="default"/>
      </w:rPr>
    </w:lvl>
    <w:lvl w:ilvl="5">
      <w:start w:val="1"/>
      <w:numFmt w:val="bullet"/>
      <w:lvlText w:val=""/>
      <w:lvlJc w:val="left"/>
      <w:pPr>
        <w:ind w:left="2142" w:hanging="357"/>
      </w:pPr>
      <w:rPr>
        <w:rFonts w:ascii="Symbol" w:hAnsi="Symbol" w:hint="default"/>
      </w:rPr>
    </w:lvl>
    <w:lvl w:ilvl="6">
      <w:start w:val="1"/>
      <w:numFmt w:val="decimal"/>
      <w:lvlText w:val="%7."/>
      <w:lvlJc w:val="left"/>
      <w:pPr>
        <w:ind w:left="2499" w:hanging="357"/>
      </w:pPr>
      <w:rPr>
        <w:rFonts w:hint="default"/>
      </w:rPr>
    </w:lvl>
    <w:lvl w:ilvl="7">
      <w:start w:val="1"/>
      <w:numFmt w:val="lowerLetter"/>
      <w:lvlText w:val="%8."/>
      <w:lvlJc w:val="left"/>
      <w:pPr>
        <w:ind w:left="2856" w:hanging="357"/>
      </w:pPr>
      <w:rPr>
        <w:rFonts w:hint="default"/>
      </w:rPr>
    </w:lvl>
    <w:lvl w:ilvl="8">
      <w:start w:val="1"/>
      <w:numFmt w:val="bullet"/>
      <w:lvlText w:val=""/>
      <w:lvlJc w:val="left"/>
      <w:pPr>
        <w:ind w:left="3213" w:hanging="357"/>
      </w:pPr>
      <w:rPr>
        <w:rFonts w:ascii="Symbol" w:hAnsi="Symbol" w:hint="default"/>
      </w:rPr>
    </w:lvl>
  </w:abstractNum>
  <w:abstractNum w:abstractNumId="11" w15:restartNumberingAfterBreak="0">
    <w:nsid w:val="0BF30B20"/>
    <w:multiLevelType w:val="multilevel"/>
    <w:tmpl w:val="FA563E8A"/>
    <w:numStyleLink w:val="WSNumberedStyle2"/>
  </w:abstractNum>
  <w:abstractNum w:abstractNumId="12" w15:restartNumberingAfterBreak="0">
    <w:nsid w:val="0DD2722C"/>
    <w:multiLevelType w:val="multilevel"/>
    <w:tmpl w:val="7E062008"/>
    <w:numStyleLink w:val="WSNumberedStyle3"/>
  </w:abstractNum>
  <w:abstractNum w:abstractNumId="13" w15:restartNumberingAfterBreak="0">
    <w:nsid w:val="0E882F5C"/>
    <w:multiLevelType w:val="multilevel"/>
    <w:tmpl w:val="FA563E8A"/>
    <w:numStyleLink w:val="WSNumberedStyle2"/>
  </w:abstractNum>
  <w:abstractNum w:abstractNumId="14" w15:restartNumberingAfterBreak="0">
    <w:nsid w:val="12D520DD"/>
    <w:multiLevelType w:val="multilevel"/>
    <w:tmpl w:val="1ACC7B5A"/>
    <w:numStyleLink w:val="WSBulletStyle1"/>
  </w:abstractNum>
  <w:abstractNum w:abstractNumId="15" w15:restartNumberingAfterBreak="0">
    <w:nsid w:val="14B34D19"/>
    <w:multiLevelType w:val="multilevel"/>
    <w:tmpl w:val="1ACC7B5A"/>
    <w:numStyleLink w:val="WSBulletStyle1"/>
  </w:abstractNum>
  <w:abstractNum w:abstractNumId="16" w15:restartNumberingAfterBreak="0">
    <w:nsid w:val="19627568"/>
    <w:multiLevelType w:val="hybridMultilevel"/>
    <w:tmpl w:val="839EEA20"/>
    <w:lvl w:ilvl="0" w:tplc="0809000F">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8090019">
      <w:start w:val="1"/>
      <w:numFmt w:val="lowerLetter"/>
      <w:lvlText w:val="%3."/>
      <w:lvlJc w:val="lef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03967A3"/>
    <w:multiLevelType w:val="multilevel"/>
    <w:tmpl w:val="FA563E8A"/>
    <w:numStyleLink w:val="WSNumberedStyle2"/>
  </w:abstractNum>
  <w:abstractNum w:abstractNumId="18" w15:restartNumberingAfterBreak="0">
    <w:nsid w:val="2A0C3698"/>
    <w:multiLevelType w:val="hybridMultilevel"/>
    <w:tmpl w:val="3F0642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C433AC5"/>
    <w:multiLevelType w:val="hybridMultilevel"/>
    <w:tmpl w:val="C8CE0FE4"/>
    <w:lvl w:ilvl="0" w:tplc="2CBEE0DE">
      <w:start w:val="1"/>
      <w:numFmt w:val="bullet"/>
      <w:lvlText w:val=""/>
      <w:lvlJc w:val="left"/>
      <w:pPr>
        <w:ind w:left="284" w:hanging="284"/>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CE87DF8"/>
    <w:multiLevelType w:val="multilevel"/>
    <w:tmpl w:val="7E062008"/>
    <w:numStyleLink w:val="WSNumberedStyle3"/>
  </w:abstractNum>
  <w:abstractNum w:abstractNumId="21" w15:restartNumberingAfterBreak="0">
    <w:nsid w:val="32924DD6"/>
    <w:multiLevelType w:val="hybridMultilevel"/>
    <w:tmpl w:val="9E44454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01">
      <w:start w:val="1"/>
      <w:numFmt w:val="bullet"/>
      <w:lvlText w:val=""/>
      <w:lvlJc w:val="left"/>
      <w:pPr>
        <w:ind w:left="2160" w:hanging="180"/>
      </w:pPr>
      <w:rPr>
        <w:rFonts w:ascii="Symbol" w:hAnsi="Symbo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70D34F4"/>
    <w:multiLevelType w:val="multilevel"/>
    <w:tmpl w:val="FA563E8A"/>
    <w:numStyleLink w:val="WSNumberedStyle2"/>
  </w:abstractNum>
  <w:abstractNum w:abstractNumId="23" w15:restartNumberingAfterBreak="0">
    <w:nsid w:val="397036AB"/>
    <w:multiLevelType w:val="hybridMultilevel"/>
    <w:tmpl w:val="7CCAD300"/>
    <w:lvl w:ilvl="0" w:tplc="08090001">
      <w:start w:val="1"/>
      <w:numFmt w:val="bullet"/>
      <w:lvlText w:val=""/>
      <w:lvlJc w:val="left"/>
      <w:pPr>
        <w:ind w:left="284" w:hanging="284"/>
      </w:pPr>
      <w:rPr>
        <w:rFonts w:ascii="Symbol" w:hAnsi="Symbol" w:hint="default"/>
      </w:rPr>
    </w:lvl>
    <w:lvl w:ilvl="1" w:tplc="1D500136">
      <w:start w:val="1"/>
      <w:numFmt w:val="bullet"/>
      <w:lvlText w:val="o"/>
      <w:lvlJc w:val="left"/>
      <w:pPr>
        <w:ind w:left="567" w:hanging="283"/>
      </w:pPr>
      <w:rPr>
        <w:rFonts w:ascii="Courier New" w:hAnsi="Courier New" w:hint="default"/>
      </w:rPr>
    </w:lvl>
    <w:lvl w:ilvl="2" w:tplc="79C8515E">
      <w:start w:val="1"/>
      <w:numFmt w:val="bullet"/>
      <w:lvlText w:val=""/>
      <w:lvlJc w:val="left"/>
      <w:pPr>
        <w:ind w:left="851" w:hanging="284"/>
      </w:pPr>
      <w:rPr>
        <w:rFonts w:ascii="Wingdings" w:hAnsi="Wingdings" w:hint="default"/>
      </w:rPr>
    </w:lvl>
    <w:lvl w:ilvl="3" w:tplc="6A8CD446">
      <w:start w:val="1"/>
      <w:numFmt w:val="bullet"/>
      <w:lvlText w:val=""/>
      <w:lvlJc w:val="left"/>
      <w:pPr>
        <w:ind w:left="1134" w:hanging="283"/>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D54457D"/>
    <w:multiLevelType w:val="multilevel"/>
    <w:tmpl w:val="1ACC7B5A"/>
    <w:styleLink w:val="WSBulletStyle1"/>
    <w:lvl w:ilvl="0">
      <w:start w:val="1"/>
      <w:numFmt w:val="bullet"/>
      <w:lvlText w:val=""/>
      <w:lvlJc w:val="left"/>
      <w:pPr>
        <w:ind w:left="357" w:hanging="357"/>
      </w:pPr>
      <w:rPr>
        <w:rFonts w:ascii="Symbol" w:hAnsi="Symbol" w:hint="default"/>
      </w:rPr>
    </w:lvl>
    <w:lvl w:ilvl="1">
      <w:start w:val="1"/>
      <w:numFmt w:val="bullet"/>
      <w:lvlText w:val="o"/>
      <w:lvlJc w:val="left"/>
      <w:pPr>
        <w:ind w:left="714" w:hanging="357"/>
      </w:pPr>
      <w:rPr>
        <w:rFonts w:ascii="Courier New" w:hAnsi="Courier New" w:cs="Courier New" w:hint="default"/>
      </w:rPr>
    </w:lvl>
    <w:lvl w:ilvl="2">
      <w:start w:val="1"/>
      <w:numFmt w:val="bullet"/>
      <w:lvlText w:val=""/>
      <w:lvlJc w:val="left"/>
      <w:pPr>
        <w:ind w:left="1071" w:hanging="357"/>
      </w:pPr>
      <w:rPr>
        <w:rFonts w:ascii="Wingdings" w:hAnsi="Wingdings" w:hint="default"/>
      </w:rPr>
    </w:lvl>
    <w:lvl w:ilvl="3">
      <w:start w:val="1"/>
      <w:numFmt w:val="bullet"/>
      <w:lvlText w:val=""/>
      <w:lvlJc w:val="left"/>
      <w:pPr>
        <w:ind w:left="1428" w:hanging="357"/>
      </w:pPr>
      <w:rPr>
        <w:rFonts w:ascii="Symbol" w:hAnsi="Symbol" w:hint="default"/>
      </w:rPr>
    </w:lvl>
    <w:lvl w:ilvl="4">
      <w:start w:val="1"/>
      <w:numFmt w:val="bullet"/>
      <w:lvlText w:val="o"/>
      <w:lvlJc w:val="left"/>
      <w:pPr>
        <w:ind w:left="1785" w:hanging="357"/>
      </w:pPr>
      <w:rPr>
        <w:rFonts w:ascii="Courier New" w:hAnsi="Courier New" w:cs="Courier New" w:hint="default"/>
      </w:rPr>
    </w:lvl>
    <w:lvl w:ilvl="5">
      <w:start w:val="1"/>
      <w:numFmt w:val="bullet"/>
      <w:lvlText w:val=""/>
      <w:lvlJc w:val="left"/>
      <w:pPr>
        <w:ind w:left="2142" w:hanging="357"/>
      </w:pPr>
      <w:rPr>
        <w:rFonts w:ascii="Wingdings" w:hAnsi="Wingdings" w:hint="default"/>
      </w:rPr>
    </w:lvl>
    <w:lvl w:ilvl="6">
      <w:start w:val="1"/>
      <w:numFmt w:val="bullet"/>
      <w:lvlText w:val=""/>
      <w:lvlJc w:val="left"/>
      <w:pPr>
        <w:ind w:left="2499" w:hanging="357"/>
      </w:pPr>
      <w:rPr>
        <w:rFonts w:ascii="Symbol" w:hAnsi="Symbol" w:hint="default"/>
      </w:rPr>
    </w:lvl>
    <w:lvl w:ilvl="7">
      <w:start w:val="1"/>
      <w:numFmt w:val="bullet"/>
      <w:lvlText w:val="o"/>
      <w:lvlJc w:val="left"/>
      <w:pPr>
        <w:ind w:left="2856" w:hanging="357"/>
      </w:pPr>
      <w:rPr>
        <w:rFonts w:ascii="Courier New" w:hAnsi="Courier New" w:hint="default"/>
      </w:rPr>
    </w:lvl>
    <w:lvl w:ilvl="8">
      <w:start w:val="1"/>
      <w:numFmt w:val="bullet"/>
      <w:lvlText w:val=""/>
      <w:lvlJc w:val="left"/>
      <w:pPr>
        <w:ind w:left="3213" w:hanging="357"/>
      </w:pPr>
      <w:rPr>
        <w:rFonts w:ascii="Wingdings" w:hAnsi="Wingdings" w:hint="default"/>
      </w:rPr>
    </w:lvl>
  </w:abstractNum>
  <w:abstractNum w:abstractNumId="25" w15:restartNumberingAfterBreak="0">
    <w:nsid w:val="4DE93929"/>
    <w:multiLevelType w:val="multilevel"/>
    <w:tmpl w:val="7E062008"/>
    <w:numStyleLink w:val="WSNumberedStyle3"/>
  </w:abstractNum>
  <w:abstractNum w:abstractNumId="26" w15:restartNumberingAfterBreak="0">
    <w:nsid w:val="511E3135"/>
    <w:multiLevelType w:val="multilevel"/>
    <w:tmpl w:val="FA563E8A"/>
    <w:numStyleLink w:val="WSNumberedStyle2"/>
  </w:abstractNum>
  <w:abstractNum w:abstractNumId="27" w15:restartNumberingAfterBreak="0">
    <w:nsid w:val="526378F4"/>
    <w:multiLevelType w:val="multilevel"/>
    <w:tmpl w:val="2C6CB044"/>
    <w:numStyleLink w:val="WSNumberedStyle1"/>
  </w:abstractNum>
  <w:abstractNum w:abstractNumId="28" w15:restartNumberingAfterBreak="0">
    <w:nsid w:val="561B0393"/>
    <w:multiLevelType w:val="multilevel"/>
    <w:tmpl w:val="2C6CB044"/>
    <w:numStyleLink w:val="WSNumberedStyle1"/>
  </w:abstractNum>
  <w:abstractNum w:abstractNumId="29" w15:restartNumberingAfterBreak="0">
    <w:nsid w:val="5E286AC2"/>
    <w:multiLevelType w:val="multilevel"/>
    <w:tmpl w:val="FA563E8A"/>
    <w:numStyleLink w:val="WSNumberedStyle2"/>
  </w:abstractNum>
  <w:abstractNum w:abstractNumId="30" w15:restartNumberingAfterBreak="0">
    <w:nsid w:val="6062577B"/>
    <w:multiLevelType w:val="multilevel"/>
    <w:tmpl w:val="FA563E8A"/>
    <w:numStyleLink w:val="WSNumberedStyle2"/>
  </w:abstractNum>
  <w:abstractNum w:abstractNumId="31" w15:restartNumberingAfterBreak="0">
    <w:nsid w:val="68170803"/>
    <w:multiLevelType w:val="multilevel"/>
    <w:tmpl w:val="FA563E8A"/>
    <w:styleLink w:val="WSNumberedStyle2"/>
    <w:lvl w:ilvl="0">
      <w:start w:val="1"/>
      <w:numFmt w:val="decimal"/>
      <w:lvlText w:val="%1."/>
      <w:lvlJc w:val="left"/>
      <w:pPr>
        <w:ind w:left="357" w:hanging="357"/>
      </w:pPr>
      <w:rPr>
        <w:rFonts w:hint="default"/>
      </w:rPr>
    </w:lvl>
    <w:lvl w:ilvl="1">
      <w:start w:val="1"/>
      <w:numFmt w:val="decimal"/>
      <w:lvlText w:val="%1.%2."/>
      <w:lvlJc w:val="left"/>
      <w:pPr>
        <w:ind w:left="947" w:hanging="590"/>
      </w:pPr>
      <w:rPr>
        <w:rFonts w:hint="default"/>
      </w:rPr>
    </w:lvl>
    <w:lvl w:ilvl="2">
      <w:start w:val="1"/>
      <w:numFmt w:val="decimal"/>
      <w:lvlText w:val="%1.%2.%3."/>
      <w:lvlJc w:val="left"/>
      <w:pPr>
        <w:ind w:left="1769" w:hanging="822"/>
      </w:pPr>
      <w:rPr>
        <w:rFonts w:hint="default"/>
      </w:rPr>
    </w:lvl>
    <w:lvl w:ilvl="3">
      <w:start w:val="1"/>
      <w:numFmt w:val="decimal"/>
      <w:lvlText w:val="%1.%2.%3.%4."/>
      <w:lvlJc w:val="left"/>
      <w:pPr>
        <w:ind w:left="2824" w:hanging="1055"/>
      </w:pPr>
      <w:rPr>
        <w:rFonts w:hint="default"/>
      </w:rPr>
    </w:lvl>
    <w:lvl w:ilvl="4">
      <w:start w:val="1"/>
      <w:numFmt w:val="decimal"/>
      <w:lvlText w:val="%1.%2.%3.%4.%5."/>
      <w:lvlJc w:val="left"/>
      <w:pPr>
        <w:tabs>
          <w:tab w:val="num" w:pos="2892"/>
        </w:tabs>
        <w:ind w:left="4111" w:hanging="1287"/>
      </w:pPr>
      <w:rPr>
        <w:rFonts w:hint="default"/>
      </w:rPr>
    </w:lvl>
    <w:lvl w:ilvl="5">
      <w:start w:val="1"/>
      <w:numFmt w:val="decimal"/>
      <w:lvlText w:val="%1.%2.%3.%4.%5.%6."/>
      <w:lvlJc w:val="left"/>
      <w:pPr>
        <w:tabs>
          <w:tab w:val="num" w:pos="5630"/>
        </w:tabs>
        <w:ind w:left="5630" w:hanging="1519"/>
      </w:pPr>
      <w:rPr>
        <w:rFonts w:hint="default"/>
      </w:rPr>
    </w:lvl>
    <w:lvl w:ilvl="6">
      <w:start w:val="1"/>
      <w:numFmt w:val="decimal"/>
      <w:lvlText w:val="%1.%2.%3.%4.%5.%6.%7."/>
      <w:lvlJc w:val="left"/>
      <w:pPr>
        <w:tabs>
          <w:tab w:val="num" w:pos="5971"/>
        </w:tabs>
        <w:ind w:left="7382" w:hanging="1752"/>
      </w:pPr>
      <w:rPr>
        <w:rFonts w:hint="default"/>
      </w:rPr>
    </w:lvl>
    <w:lvl w:ilvl="7">
      <w:start w:val="1"/>
      <w:numFmt w:val="decimal"/>
      <w:lvlText w:val="%1.%2.%3.%4.%5.%6.%7.%8."/>
      <w:lvlJc w:val="left"/>
      <w:pPr>
        <w:tabs>
          <w:tab w:val="num" w:pos="8165"/>
        </w:tabs>
        <w:ind w:left="7615" w:hanging="1985"/>
      </w:pPr>
      <w:rPr>
        <w:rFonts w:hint="default"/>
      </w:rPr>
    </w:lvl>
    <w:lvl w:ilvl="8">
      <w:start w:val="1"/>
      <w:numFmt w:val="decimal"/>
      <w:lvlText w:val="%1.%2.%3.%4.%5.%6.%7.%8.%9."/>
      <w:lvlJc w:val="left"/>
      <w:pPr>
        <w:ind w:left="7847" w:hanging="2217"/>
      </w:pPr>
      <w:rPr>
        <w:rFonts w:hint="default"/>
      </w:rPr>
    </w:lvl>
  </w:abstractNum>
  <w:abstractNum w:abstractNumId="32" w15:restartNumberingAfterBreak="0">
    <w:nsid w:val="6AF87F2D"/>
    <w:multiLevelType w:val="multilevel"/>
    <w:tmpl w:val="FA563E8A"/>
    <w:numStyleLink w:val="WSNumberedStyle2"/>
  </w:abstractNum>
  <w:abstractNum w:abstractNumId="33" w15:restartNumberingAfterBreak="0">
    <w:nsid w:val="6F5D22B7"/>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768D5D09"/>
    <w:multiLevelType w:val="multilevel"/>
    <w:tmpl w:val="7E062008"/>
    <w:styleLink w:val="WSNumberedStyle3"/>
    <w:lvl w:ilvl="0">
      <w:start w:val="1"/>
      <w:numFmt w:val="decimal"/>
      <w:lvlText w:val="%1."/>
      <w:lvlJc w:val="left"/>
      <w:pPr>
        <w:ind w:left="357" w:hanging="357"/>
      </w:pPr>
      <w:rPr>
        <w:rFonts w:hint="default"/>
      </w:rPr>
    </w:lvl>
    <w:lvl w:ilvl="1">
      <w:start w:val="1"/>
      <w:numFmt w:val="bullet"/>
      <w:lvlText w:val=""/>
      <w:lvlJc w:val="left"/>
      <w:pPr>
        <w:ind w:left="714" w:hanging="357"/>
      </w:pPr>
      <w:rPr>
        <w:rFonts w:ascii="Symbol" w:hAnsi="Symbol" w:hint="default"/>
      </w:rPr>
    </w:lvl>
    <w:lvl w:ilvl="2">
      <w:start w:val="1"/>
      <w:numFmt w:val="lowerLetter"/>
      <w:lvlText w:val="%3."/>
      <w:lvlJc w:val="left"/>
      <w:pPr>
        <w:ind w:left="1071" w:hanging="357"/>
      </w:pPr>
      <w:rPr>
        <w:rFonts w:hint="default"/>
      </w:rPr>
    </w:lvl>
    <w:lvl w:ilvl="3">
      <w:start w:val="1"/>
      <w:numFmt w:val="decimal"/>
      <w:lvlText w:val="%4."/>
      <w:lvlJc w:val="left"/>
      <w:pPr>
        <w:ind w:left="1428" w:hanging="357"/>
      </w:pPr>
      <w:rPr>
        <w:rFonts w:hint="default"/>
      </w:rPr>
    </w:lvl>
    <w:lvl w:ilvl="4">
      <w:start w:val="1"/>
      <w:numFmt w:val="bullet"/>
      <w:lvlText w:val=""/>
      <w:lvlJc w:val="left"/>
      <w:pPr>
        <w:ind w:left="1785" w:hanging="357"/>
      </w:pPr>
      <w:rPr>
        <w:rFonts w:ascii="Symbol" w:hAnsi="Symbol" w:hint="default"/>
      </w:rPr>
    </w:lvl>
    <w:lvl w:ilvl="5">
      <w:start w:val="1"/>
      <w:numFmt w:val="lowerLetter"/>
      <w:lvlText w:val="%6."/>
      <w:lvlJc w:val="left"/>
      <w:pPr>
        <w:ind w:left="2142" w:hanging="357"/>
      </w:pPr>
      <w:rPr>
        <w:rFonts w:hint="default"/>
      </w:rPr>
    </w:lvl>
    <w:lvl w:ilvl="6">
      <w:start w:val="1"/>
      <w:numFmt w:val="decimal"/>
      <w:lvlText w:val="%7."/>
      <w:lvlJc w:val="left"/>
      <w:pPr>
        <w:ind w:left="2499" w:hanging="357"/>
      </w:pPr>
      <w:rPr>
        <w:rFonts w:hint="default"/>
      </w:rPr>
    </w:lvl>
    <w:lvl w:ilvl="7">
      <w:start w:val="1"/>
      <w:numFmt w:val="bullet"/>
      <w:lvlText w:val=""/>
      <w:lvlJc w:val="left"/>
      <w:pPr>
        <w:ind w:left="2856" w:hanging="357"/>
      </w:pPr>
      <w:rPr>
        <w:rFonts w:ascii="Symbol" w:hAnsi="Symbol" w:hint="default"/>
      </w:rPr>
    </w:lvl>
    <w:lvl w:ilvl="8">
      <w:start w:val="1"/>
      <w:numFmt w:val="lowerLetter"/>
      <w:lvlText w:val="%9."/>
      <w:lvlJc w:val="left"/>
      <w:pPr>
        <w:ind w:left="3213" w:hanging="357"/>
      </w:pPr>
      <w:rPr>
        <w:rFonts w:hint="default"/>
      </w:rPr>
    </w:lvl>
  </w:abstractNum>
  <w:abstractNum w:abstractNumId="35" w15:restartNumberingAfterBreak="0">
    <w:nsid w:val="7935413B"/>
    <w:multiLevelType w:val="multilevel"/>
    <w:tmpl w:val="1ACC7B5A"/>
    <w:numStyleLink w:val="WSBulletStyle1"/>
  </w:abstractNum>
  <w:abstractNum w:abstractNumId="36" w15:restartNumberingAfterBreak="0">
    <w:nsid w:val="7DFC6DD4"/>
    <w:multiLevelType w:val="hybridMultilevel"/>
    <w:tmpl w:val="3BD6CB1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8"/>
  </w:num>
  <w:num w:numId="12">
    <w:abstractNumId w:val="19"/>
  </w:num>
  <w:num w:numId="13">
    <w:abstractNumId w:val="23"/>
  </w:num>
  <w:num w:numId="14">
    <w:abstractNumId w:val="36"/>
  </w:num>
  <w:num w:numId="15">
    <w:abstractNumId w:val="21"/>
  </w:num>
  <w:num w:numId="16">
    <w:abstractNumId w:val="33"/>
  </w:num>
  <w:num w:numId="17">
    <w:abstractNumId w:val="16"/>
  </w:num>
  <w:num w:numId="18">
    <w:abstractNumId w:val="24"/>
  </w:num>
  <w:num w:numId="19">
    <w:abstractNumId w:val="14"/>
  </w:num>
  <w:num w:numId="20">
    <w:abstractNumId w:val="35"/>
  </w:num>
  <w:num w:numId="21">
    <w:abstractNumId w:val="10"/>
  </w:num>
  <w:num w:numId="22">
    <w:abstractNumId w:val="28"/>
  </w:num>
  <w:num w:numId="23">
    <w:abstractNumId w:val="27"/>
  </w:num>
  <w:num w:numId="24">
    <w:abstractNumId w:val="31"/>
  </w:num>
  <w:num w:numId="25">
    <w:abstractNumId w:val="13"/>
  </w:num>
  <w:num w:numId="26">
    <w:abstractNumId w:val="11"/>
  </w:num>
  <w:num w:numId="27">
    <w:abstractNumId w:val="22"/>
  </w:num>
  <w:num w:numId="28">
    <w:abstractNumId w:val="29"/>
    <w:lvlOverride w:ilvl="0">
      <w:lvl w:ilvl="0">
        <w:start w:val="1"/>
        <w:numFmt w:val="decimal"/>
        <w:lvlText w:val="%1."/>
        <w:lvlJc w:val="left"/>
        <w:pPr>
          <w:ind w:left="357" w:hanging="357"/>
        </w:pPr>
        <w:rPr>
          <w:rFonts w:hint="default"/>
        </w:rPr>
      </w:lvl>
    </w:lvlOverride>
    <w:lvlOverride w:ilvl="1">
      <w:lvl w:ilvl="1">
        <w:start w:val="1"/>
        <w:numFmt w:val="decimal"/>
        <w:lvlText w:val="%1.%2."/>
        <w:lvlJc w:val="left"/>
        <w:pPr>
          <w:ind w:left="714" w:hanging="357"/>
        </w:pPr>
        <w:rPr>
          <w:rFonts w:hint="default"/>
        </w:rPr>
      </w:lvl>
    </w:lvlOverride>
    <w:lvlOverride w:ilvl="2">
      <w:lvl w:ilvl="2">
        <w:start w:val="1"/>
        <w:numFmt w:val="decimal"/>
        <w:lvlText w:val="%1.%2.%3."/>
        <w:lvlJc w:val="left"/>
        <w:pPr>
          <w:ind w:left="1071" w:hanging="357"/>
        </w:pPr>
        <w:rPr>
          <w:rFonts w:hint="default"/>
        </w:rPr>
      </w:lvl>
    </w:lvlOverride>
    <w:lvlOverride w:ilvl="3">
      <w:lvl w:ilvl="3">
        <w:start w:val="1"/>
        <w:numFmt w:val="decimal"/>
        <w:lvlText w:val="%1.%2.%3.%4."/>
        <w:lvlJc w:val="left"/>
        <w:pPr>
          <w:ind w:left="1428" w:hanging="357"/>
        </w:pPr>
        <w:rPr>
          <w:rFonts w:hint="default"/>
        </w:rPr>
      </w:lvl>
    </w:lvlOverride>
    <w:lvlOverride w:ilvl="4">
      <w:lvl w:ilvl="4">
        <w:start w:val="1"/>
        <w:numFmt w:val="decimal"/>
        <w:lvlText w:val="%1.%2.%3.%4.%5."/>
        <w:lvlJc w:val="left"/>
        <w:pPr>
          <w:ind w:left="1785" w:hanging="357"/>
        </w:pPr>
        <w:rPr>
          <w:rFonts w:hint="default"/>
        </w:rPr>
      </w:lvl>
    </w:lvlOverride>
    <w:lvlOverride w:ilvl="5">
      <w:lvl w:ilvl="5">
        <w:start w:val="1"/>
        <w:numFmt w:val="decimal"/>
        <w:lvlText w:val="%1.%2.%3.%4.%5.%6."/>
        <w:lvlJc w:val="left"/>
        <w:pPr>
          <w:ind w:left="2142" w:hanging="357"/>
        </w:pPr>
        <w:rPr>
          <w:rFonts w:hint="default"/>
        </w:rPr>
      </w:lvl>
    </w:lvlOverride>
    <w:lvlOverride w:ilvl="6">
      <w:lvl w:ilvl="6">
        <w:start w:val="1"/>
        <w:numFmt w:val="decimal"/>
        <w:lvlText w:val="%1.%2.%3.%4.%5.%6.%7."/>
        <w:lvlJc w:val="left"/>
        <w:pPr>
          <w:ind w:left="2499" w:hanging="357"/>
        </w:pPr>
        <w:rPr>
          <w:rFonts w:hint="default"/>
        </w:rPr>
      </w:lvl>
    </w:lvlOverride>
    <w:lvlOverride w:ilvl="7">
      <w:lvl w:ilvl="7">
        <w:start w:val="1"/>
        <w:numFmt w:val="decimal"/>
        <w:lvlText w:val="%1.%2.%3.%4.%5.%6.%7.%8."/>
        <w:lvlJc w:val="left"/>
        <w:pPr>
          <w:ind w:left="2856" w:hanging="357"/>
        </w:pPr>
        <w:rPr>
          <w:rFonts w:hint="default"/>
        </w:rPr>
      </w:lvl>
    </w:lvlOverride>
    <w:lvlOverride w:ilvl="8">
      <w:lvl w:ilvl="8">
        <w:start w:val="1"/>
        <w:numFmt w:val="decimal"/>
        <w:lvlText w:val="%1.%2.%3.%4.%5.%6.%7.%8.%9."/>
        <w:lvlJc w:val="left"/>
        <w:pPr>
          <w:ind w:left="3213" w:hanging="357"/>
        </w:pPr>
        <w:rPr>
          <w:rFonts w:hint="default"/>
        </w:rPr>
      </w:lvl>
    </w:lvlOverride>
  </w:num>
  <w:num w:numId="29">
    <w:abstractNumId w:val="17"/>
    <w:lvlOverride w:ilvl="0">
      <w:lvl w:ilvl="0">
        <w:start w:val="1"/>
        <w:numFmt w:val="decimal"/>
        <w:lvlText w:val="%1."/>
        <w:lvlJc w:val="left"/>
        <w:pPr>
          <w:ind w:left="357" w:hanging="357"/>
        </w:pPr>
        <w:rPr>
          <w:rFonts w:hint="default"/>
        </w:rPr>
      </w:lvl>
    </w:lvlOverride>
    <w:lvlOverride w:ilvl="1">
      <w:lvl w:ilvl="1">
        <w:start w:val="1"/>
        <w:numFmt w:val="decimal"/>
        <w:lvlText w:val="%1.%2."/>
        <w:lvlJc w:val="left"/>
        <w:pPr>
          <w:ind w:left="890" w:hanging="533"/>
        </w:pPr>
        <w:rPr>
          <w:rFonts w:hint="default"/>
        </w:rPr>
      </w:lvl>
    </w:lvlOverride>
    <w:lvlOverride w:ilvl="2">
      <w:lvl w:ilvl="2">
        <w:start w:val="1"/>
        <w:numFmt w:val="decimal"/>
        <w:lvlText w:val="%1.%2.%3."/>
        <w:lvlJc w:val="left"/>
        <w:pPr>
          <w:ind w:left="1956" w:hanging="1066"/>
        </w:pPr>
        <w:rPr>
          <w:rFonts w:hint="default"/>
        </w:rPr>
      </w:lvl>
    </w:lvlOverride>
    <w:lvlOverride w:ilvl="3">
      <w:lvl w:ilvl="3">
        <w:start w:val="1"/>
        <w:numFmt w:val="decimal"/>
        <w:lvlText w:val="%1.%2.%3.%4."/>
        <w:lvlJc w:val="left"/>
        <w:pPr>
          <w:ind w:left="1428" w:hanging="357"/>
        </w:pPr>
        <w:rPr>
          <w:rFonts w:hint="default"/>
        </w:rPr>
      </w:lvl>
    </w:lvlOverride>
    <w:lvlOverride w:ilvl="4">
      <w:lvl w:ilvl="4">
        <w:start w:val="1"/>
        <w:numFmt w:val="decimal"/>
        <w:lvlText w:val="%1.%2.%3.%4.%5."/>
        <w:lvlJc w:val="left"/>
        <w:pPr>
          <w:ind w:left="1785" w:hanging="357"/>
        </w:pPr>
        <w:rPr>
          <w:rFonts w:hint="default"/>
        </w:rPr>
      </w:lvl>
    </w:lvlOverride>
    <w:lvlOverride w:ilvl="5">
      <w:lvl w:ilvl="5">
        <w:start w:val="1"/>
        <w:numFmt w:val="decimal"/>
        <w:lvlText w:val="%1.%2.%3.%4.%5.%6."/>
        <w:lvlJc w:val="left"/>
        <w:pPr>
          <w:ind w:left="2142" w:hanging="357"/>
        </w:pPr>
        <w:rPr>
          <w:rFonts w:hint="default"/>
        </w:rPr>
      </w:lvl>
    </w:lvlOverride>
    <w:lvlOverride w:ilvl="6">
      <w:lvl w:ilvl="6">
        <w:start w:val="1"/>
        <w:numFmt w:val="decimal"/>
        <w:lvlText w:val="%1.%2.%3.%4.%5.%6.%7."/>
        <w:lvlJc w:val="left"/>
        <w:pPr>
          <w:ind w:left="2499" w:hanging="357"/>
        </w:pPr>
        <w:rPr>
          <w:rFonts w:hint="default"/>
        </w:rPr>
      </w:lvl>
    </w:lvlOverride>
    <w:lvlOverride w:ilvl="7">
      <w:lvl w:ilvl="7">
        <w:start w:val="1"/>
        <w:numFmt w:val="decimal"/>
        <w:lvlText w:val="%1.%2.%3.%4.%5.%6.%7.%8."/>
        <w:lvlJc w:val="left"/>
        <w:pPr>
          <w:ind w:left="2856" w:hanging="357"/>
        </w:pPr>
        <w:rPr>
          <w:rFonts w:hint="default"/>
        </w:rPr>
      </w:lvl>
    </w:lvlOverride>
    <w:lvlOverride w:ilvl="8">
      <w:lvl w:ilvl="8">
        <w:start w:val="1"/>
        <w:numFmt w:val="decimal"/>
        <w:lvlText w:val="%1.%2.%3.%4.%5.%6.%7.%8.%9."/>
        <w:lvlJc w:val="left"/>
        <w:pPr>
          <w:ind w:left="3213" w:hanging="357"/>
        </w:pPr>
        <w:rPr>
          <w:rFonts w:hint="default"/>
        </w:rPr>
      </w:lvl>
    </w:lvlOverride>
  </w:num>
  <w:num w:numId="30">
    <w:abstractNumId w:val="32"/>
    <w:lvlOverride w:ilvl="0">
      <w:lvl w:ilvl="0">
        <w:start w:val="1"/>
        <w:numFmt w:val="decimal"/>
        <w:lvlText w:val="%1."/>
        <w:lvlJc w:val="left"/>
        <w:pPr>
          <w:ind w:left="357" w:hanging="357"/>
        </w:pPr>
        <w:rPr>
          <w:rFonts w:hint="default"/>
        </w:rPr>
      </w:lvl>
    </w:lvlOverride>
    <w:lvlOverride w:ilvl="1">
      <w:lvl w:ilvl="1">
        <w:start w:val="1"/>
        <w:numFmt w:val="decimal"/>
        <w:lvlText w:val="%1.%2."/>
        <w:lvlJc w:val="left"/>
        <w:pPr>
          <w:ind w:left="890" w:hanging="533"/>
        </w:pPr>
        <w:rPr>
          <w:rFonts w:hint="default"/>
        </w:rPr>
      </w:lvl>
    </w:lvlOverride>
    <w:lvlOverride w:ilvl="2">
      <w:lvl w:ilvl="2">
        <w:start w:val="1"/>
        <w:numFmt w:val="decimal"/>
        <w:lvlText w:val="%1.%2.%3."/>
        <w:lvlJc w:val="left"/>
        <w:pPr>
          <w:ind w:left="1423" w:hanging="533"/>
        </w:pPr>
        <w:rPr>
          <w:rFonts w:hint="default"/>
        </w:rPr>
      </w:lvl>
    </w:lvlOverride>
    <w:lvlOverride w:ilvl="3">
      <w:lvl w:ilvl="3">
        <w:start w:val="1"/>
        <w:numFmt w:val="decimal"/>
        <w:lvlText w:val="%1.%2.%3.%4."/>
        <w:lvlJc w:val="left"/>
        <w:pPr>
          <w:ind w:left="1956" w:hanging="533"/>
        </w:pPr>
        <w:rPr>
          <w:rFonts w:hint="default"/>
        </w:rPr>
      </w:lvl>
    </w:lvlOverride>
    <w:lvlOverride w:ilvl="4">
      <w:lvl w:ilvl="4">
        <w:start w:val="1"/>
        <w:numFmt w:val="decimal"/>
        <w:lvlText w:val="%1.%2.%3.%4.%5."/>
        <w:lvlJc w:val="left"/>
        <w:pPr>
          <w:tabs>
            <w:tab w:val="num" w:pos="2489"/>
          </w:tabs>
          <w:ind w:left="2489" w:hanging="533"/>
        </w:pPr>
        <w:rPr>
          <w:rFonts w:hint="default"/>
        </w:rPr>
      </w:lvl>
    </w:lvlOverride>
    <w:lvlOverride w:ilvl="5">
      <w:lvl w:ilvl="5">
        <w:start w:val="1"/>
        <w:numFmt w:val="decimal"/>
        <w:lvlText w:val="%1.%2.%3.%4.%5.%6."/>
        <w:lvlJc w:val="left"/>
        <w:pPr>
          <w:tabs>
            <w:tab w:val="num" w:pos="2489"/>
          </w:tabs>
          <w:ind w:left="3022" w:hanging="533"/>
        </w:pPr>
        <w:rPr>
          <w:rFonts w:hint="default"/>
        </w:rPr>
      </w:lvl>
    </w:lvlOverride>
    <w:lvlOverride w:ilvl="6">
      <w:lvl w:ilvl="6">
        <w:start w:val="1"/>
        <w:numFmt w:val="decimal"/>
        <w:lvlText w:val="%1.%2.%3.%4.%5.%6.%7."/>
        <w:lvlJc w:val="left"/>
        <w:pPr>
          <w:tabs>
            <w:tab w:val="num" w:pos="3022"/>
          </w:tabs>
          <w:ind w:left="3555" w:hanging="533"/>
        </w:pPr>
        <w:rPr>
          <w:rFonts w:hint="default"/>
        </w:rPr>
      </w:lvl>
    </w:lvlOverride>
    <w:lvlOverride w:ilvl="7">
      <w:lvl w:ilvl="7">
        <w:start w:val="1"/>
        <w:numFmt w:val="decimal"/>
        <w:lvlText w:val="%1.%2.%3.%4.%5.%6.%7.%8."/>
        <w:lvlJc w:val="left"/>
        <w:pPr>
          <w:tabs>
            <w:tab w:val="num" w:pos="3555"/>
          </w:tabs>
          <w:ind w:left="4088" w:hanging="533"/>
        </w:pPr>
        <w:rPr>
          <w:rFonts w:hint="default"/>
        </w:rPr>
      </w:lvl>
    </w:lvlOverride>
    <w:lvlOverride w:ilvl="8">
      <w:lvl w:ilvl="8">
        <w:start w:val="1"/>
        <w:numFmt w:val="decimal"/>
        <w:lvlText w:val="%1.%2.%3.%4.%5.%6.%7.%8.%9."/>
        <w:lvlJc w:val="left"/>
        <w:pPr>
          <w:ind w:left="4621" w:hanging="533"/>
        </w:pPr>
        <w:rPr>
          <w:rFonts w:hint="default"/>
        </w:rPr>
      </w:lvl>
    </w:lvlOverride>
  </w:num>
  <w:num w:numId="31">
    <w:abstractNumId w:val="26"/>
  </w:num>
  <w:num w:numId="32">
    <w:abstractNumId w:val="34"/>
  </w:num>
  <w:num w:numId="33">
    <w:abstractNumId w:val="12"/>
  </w:num>
  <w:num w:numId="34">
    <w:abstractNumId w:val="25"/>
  </w:num>
  <w:num w:numId="35">
    <w:abstractNumId w:val="20"/>
  </w:num>
  <w:num w:numId="36">
    <w:abstractNumId w:val="15"/>
  </w:num>
  <w:num w:numId="37">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stylePaneSortMethod w:val="000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4914"/>
    <w:rsid w:val="00210D41"/>
    <w:rsid w:val="002E4B94"/>
    <w:rsid w:val="00321D70"/>
    <w:rsid w:val="00323834"/>
    <w:rsid w:val="00335E2B"/>
    <w:rsid w:val="003B50DB"/>
    <w:rsid w:val="003D69D5"/>
    <w:rsid w:val="004538A7"/>
    <w:rsid w:val="00485115"/>
    <w:rsid w:val="00603665"/>
    <w:rsid w:val="00605A72"/>
    <w:rsid w:val="006B19CD"/>
    <w:rsid w:val="00711B39"/>
    <w:rsid w:val="0075561B"/>
    <w:rsid w:val="00770E5C"/>
    <w:rsid w:val="008B2675"/>
    <w:rsid w:val="009A5117"/>
    <w:rsid w:val="00AB5B5E"/>
    <w:rsid w:val="00B0571A"/>
    <w:rsid w:val="00BC20C5"/>
    <w:rsid w:val="00BD2CD6"/>
    <w:rsid w:val="00BD2E49"/>
    <w:rsid w:val="00DE4FF1"/>
    <w:rsid w:val="00F20BD6"/>
    <w:rsid w:val="00F549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8D23A7"/>
  <w15:chartTrackingRefBased/>
  <w15:docId w15:val="{A354A4A2-E9DC-4B3A-A8A1-741D60B6CB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5E2B"/>
    <w:pPr>
      <w:spacing w:after="0" w:line="240" w:lineRule="auto"/>
    </w:pPr>
    <w:rPr>
      <w:rFonts w:ascii="Verdana" w:hAnsi="Verdana"/>
    </w:rPr>
  </w:style>
  <w:style w:type="paragraph" w:styleId="Heading1">
    <w:name w:val="heading 1"/>
    <w:basedOn w:val="Normal"/>
    <w:next w:val="Normal"/>
    <w:link w:val="Heading1Char"/>
    <w:uiPriority w:val="9"/>
    <w:qFormat/>
    <w:rsid w:val="00711B39"/>
    <w:pPr>
      <w:keepNext/>
      <w:keepLines/>
      <w:outlineLvl w:val="0"/>
    </w:pPr>
    <w:rPr>
      <w:rFonts w:eastAsiaTheme="majorEastAsia" w:cstheme="majorBidi"/>
      <w:b/>
      <w:sz w:val="32"/>
      <w:szCs w:val="32"/>
    </w:rPr>
  </w:style>
  <w:style w:type="paragraph" w:styleId="Heading2">
    <w:name w:val="heading 2"/>
    <w:basedOn w:val="Normal"/>
    <w:next w:val="Normal"/>
    <w:link w:val="Heading2Char"/>
    <w:uiPriority w:val="9"/>
    <w:unhideWhenUsed/>
    <w:qFormat/>
    <w:rsid w:val="00711B39"/>
    <w:pPr>
      <w:keepNext/>
      <w:keepLines/>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711B39"/>
    <w:pPr>
      <w:keepNext/>
      <w:keepLines/>
      <w:outlineLvl w:val="2"/>
    </w:pPr>
    <w:rPr>
      <w:rFonts w:eastAsiaTheme="majorEastAsia" w:cstheme="majorBidi"/>
      <w:b/>
      <w:sz w:val="24"/>
      <w:szCs w:val="24"/>
    </w:rPr>
  </w:style>
  <w:style w:type="paragraph" w:styleId="Heading4">
    <w:name w:val="heading 4"/>
    <w:basedOn w:val="Normal"/>
    <w:next w:val="Normal"/>
    <w:link w:val="Heading4Char"/>
    <w:uiPriority w:val="9"/>
    <w:unhideWhenUsed/>
    <w:qFormat/>
    <w:rsid w:val="00711B39"/>
    <w:pPr>
      <w:keepNext/>
      <w:keepLines/>
      <w:outlineLvl w:val="3"/>
    </w:pPr>
    <w:rPr>
      <w:rFonts w:eastAsiaTheme="majorEastAsia" w:cstheme="majorBidi"/>
      <w:b/>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11B39"/>
    <w:pPr>
      <w:spacing w:after="0" w:line="240" w:lineRule="auto"/>
    </w:pPr>
    <w:rPr>
      <w:rFonts w:ascii="Verdana" w:hAnsi="Verdana"/>
    </w:rPr>
  </w:style>
  <w:style w:type="character" w:customStyle="1" w:styleId="Heading1Char">
    <w:name w:val="Heading 1 Char"/>
    <w:basedOn w:val="DefaultParagraphFont"/>
    <w:link w:val="Heading1"/>
    <w:uiPriority w:val="9"/>
    <w:rsid w:val="00711B39"/>
    <w:rPr>
      <w:rFonts w:ascii="Verdana" w:eastAsiaTheme="majorEastAsia" w:hAnsi="Verdana" w:cstheme="majorBidi"/>
      <w:b/>
      <w:sz w:val="32"/>
      <w:szCs w:val="32"/>
    </w:rPr>
  </w:style>
  <w:style w:type="character" w:customStyle="1" w:styleId="Heading2Char">
    <w:name w:val="Heading 2 Char"/>
    <w:basedOn w:val="DefaultParagraphFont"/>
    <w:link w:val="Heading2"/>
    <w:uiPriority w:val="9"/>
    <w:rsid w:val="00711B39"/>
    <w:rPr>
      <w:rFonts w:ascii="Verdana" w:eastAsiaTheme="majorEastAsia" w:hAnsi="Verdana" w:cstheme="majorBidi"/>
      <w:b/>
      <w:sz w:val="28"/>
      <w:szCs w:val="26"/>
    </w:rPr>
  </w:style>
  <w:style w:type="character" w:customStyle="1" w:styleId="Heading3Char">
    <w:name w:val="Heading 3 Char"/>
    <w:basedOn w:val="DefaultParagraphFont"/>
    <w:link w:val="Heading3"/>
    <w:uiPriority w:val="9"/>
    <w:rsid w:val="00711B39"/>
    <w:rPr>
      <w:rFonts w:ascii="Verdana" w:eastAsiaTheme="majorEastAsia" w:hAnsi="Verdana" w:cstheme="majorBidi"/>
      <w:b/>
      <w:sz w:val="24"/>
      <w:szCs w:val="24"/>
    </w:rPr>
  </w:style>
  <w:style w:type="character" w:customStyle="1" w:styleId="Heading4Char">
    <w:name w:val="Heading 4 Char"/>
    <w:basedOn w:val="DefaultParagraphFont"/>
    <w:link w:val="Heading4"/>
    <w:uiPriority w:val="9"/>
    <w:rsid w:val="00711B39"/>
    <w:rPr>
      <w:rFonts w:ascii="Verdana" w:eastAsiaTheme="majorEastAsia" w:hAnsi="Verdana" w:cstheme="majorBidi"/>
      <w:b/>
      <w:iCs/>
    </w:rPr>
  </w:style>
  <w:style w:type="paragraph" w:styleId="TOC1">
    <w:name w:val="toc 1"/>
    <w:basedOn w:val="Normal"/>
    <w:next w:val="Normal"/>
    <w:autoRedefine/>
    <w:uiPriority w:val="39"/>
    <w:unhideWhenUsed/>
    <w:rsid w:val="00711B39"/>
  </w:style>
  <w:style w:type="paragraph" w:styleId="TOC2">
    <w:name w:val="toc 2"/>
    <w:basedOn w:val="Normal"/>
    <w:next w:val="Normal"/>
    <w:autoRedefine/>
    <w:uiPriority w:val="39"/>
    <w:unhideWhenUsed/>
    <w:rsid w:val="00711B39"/>
    <w:pPr>
      <w:ind w:left="284"/>
    </w:pPr>
  </w:style>
  <w:style w:type="paragraph" w:styleId="TOC3">
    <w:name w:val="toc 3"/>
    <w:basedOn w:val="Normal"/>
    <w:next w:val="Normal"/>
    <w:autoRedefine/>
    <w:uiPriority w:val="39"/>
    <w:unhideWhenUsed/>
    <w:rsid w:val="00711B39"/>
    <w:pPr>
      <w:ind w:left="567"/>
    </w:pPr>
  </w:style>
  <w:style w:type="paragraph" w:styleId="TOC4">
    <w:name w:val="toc 4"/>
    <w:basedOn w:val="Normal"/>
    <w:next w:val="Normal"/>
    <w:autoRedefine/>
    <w:uiPriority w:val="39"/>
    <w:unhideWhenUsed/>
    <w:rsid w:val="00711B39"/>
    <w:pPr>
      <w:ind w:left="851"/>
    </w:pPr>
  </w:style>
  <w:style w:type="paragraph" w:styleId="ListParagraph">
    <w:name w:val="List Paragraph"/>
    <w:basedOn w:val="Normal"/>
    <w:uiPriority w:val="34"/>
    <w:qFormat/>
    <w:rsid w:val="00335E2B"/>
    <w:pPr>
      <w:contextualSpacing/>
    </w:pPr>
  </w:style>
  <w:style w:type="numbering" w:customStyle="1" w:styleId="WSBulletStyle1">
    <w:name w:val="WS Bullet Style 1"/>
    <w:uiPriority w:val="99"/>
    <w:rsid w:val="00BC20C5"/>
    <w:pPr>
      <w:numPr>
        <w:numId w:val="18"/>
      </w:numPr>
    </w:pPr>
  </w:style>
  <w:style w:type="numbering" w:customStyle="1" w:styleId="WSNumberedStyle1">
    <w:name w:val="WS Numbered Style 1"/>
    <w:uiPriority w:val="99"/>
    <w:rsid w:val="00605A72"/>
    <w:pPr>
      <w:numPr>
        <w:numId w:val="21"/>
      </w:numPr>
    </w:pPr>
  </w:style>
  <w:style w:type="numbering" w:customStyle="1" w:styleId="WSNumberedStyle2">
    <w:name w:val="WS Numbered Style 2"/>
    <w:uiPriority w:val="99"/>
    <w:rsid w:val="004538A7"/>
    <w:pPr>
      <w:numPr>
        <w:numId w:val="24"/>
      </w:numPr>
    </w:pPr>
  </w:style>
  <w:style w:type="numbering" w:customStyle="1" w:styleId="WSNumberedStyle3">
    <w:name w:val="WS Numbered Style 3"/>
    <w:uiPriority w:val="99"/>
    <w:rsid w:val="00485115"/>
    <w:pPr>
      <w:numPr>
        <w:numId w:val="32"/>
      </w:numPr>
    </w:pPr>
  </w:style>
  <w:style w:type="table" w:styleId="TableGrid">
    <w:name w:val="Table Grid"/>
    <w:basedOn w:val="TableNormal"/>
    <w:uiPriority w:val="39"/>
    <w:rsid w:val="00DE4F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1507840">
      <w:bodyDiv w:val="1"/>
      <w:marLeft w:val="0"/>
      <w:marRight w:val="0"/>
      <w:marTop w:val="0"/>
      <w:marBottom w:val="0"/>
      <w:divBdr>
        <w:top w:val="none" w:sz="0" w:space="0" w:color="auto"/>
        <w:left w:val="none" w:sz="0" w:space="0" w:color="auto"/>
        <w:bottom w:val="none" w:sz="0" w:space="0" w:color="auto"/>
        <w:right w:val="none" w:sz="0" w:space="0" w:color="auto"/>
      </w:divBdr>
      <w:divsChild>
        <w:div w:id="1945068985">
          <w:marLeft w:val="0"/>
          <w:marRight w:val="0"/>
          <w:marTop w:val="0"/>
          <w:marBottom w:val="0"/>
          <w:divBdr>
            <w:top w:val="none" w:sz="0" w:space="0" w:color="auto"/>
            <w:left w:val="none" w:sz="0" w:space="0" w:color="auto"/>
            <w:bottom w:val="none" w:sz="0" w:space="0" w:color="auto"/>
            <w:right w:val="none" w:sz="0" w:space="0" w:color="auto"/>
          </w:divBdr>
          <w:divsChild>
            <w:div w:id="1631207825">
              <w:marLeft w:val="0"/>
              <w:marRight w:val="0"/>
              <w:marTop w:val="0"/>
              <w:marBottom w:val="0"/>
              <w:divBdr>
                <w:top w:val="none" w:sz="0" w:space="0" w:color="auto"/>
                <w:left w:val="none" w:sz="0" w:space="0" w:color="auto"/>
                <w:bottom w:val="none" w:sz="0" w:space="0" w:color="auto"/>
                <w:right w:val="none" w:sz="0" w:space="0" w:color="auto"/>
              </w:divBdr>
            </w:div>
            <w:div w:id="1777215871">
              <w:marLeft w:val="0"/>
              <w:marRight w:val="0"/>
              <w:marTop w:val="0"/>
              <w:marBottom w:val="0"/>
              <w:divBdr>
                <w:top w:val="none" w:sz="0" w:space="0" w:color="auto"/>
                <w:left w:val="none" w:sz="0" w:space="0" w:color="auto"/>
                <w:bottom w:val="none" w:sz="0" w:space="0" w:color="auto"/>
                <w:right w:val="none" w:sz="0" w:space="0" w:color="auto"/>
              </w:divBdr>
            </w:div>
          </w:divsChild>
        </w:div>
        <w:div w:id="779298747">
          <w:marLeft w:val="0"/>
          <w:marRight w:val="0"/>
          <w:marTop w:val="0"/>
          <w:marBottom w:val="0"/>
          <w:divBdr>
            <w:top w:val="none" w:sz="0" w:space="0" w:color="auto"/>
            <w:left w:val="none" w:sz="0" w:space="0" w:color="auto"/>
            <w:bottom w:val="none" w:sz="0" w:space="0" w:color="auto"/>
            <w:right w:val="none" w:sz="0" w:space="0" w:color="auto"/>
          </w:divBdr>
          <w:divsChild>
            <w:div w:id="1906212026">
              <w:marLeft w:val="0"/>
              <w:marRight w:val="0"/>
              <w:marTop w:val="0"/>
              <w:marBottom w:val="0"/>
              <w:divBdr>
                <w:top w:val="none" w:sz="0" w:space="0" w:color="auto"/>
                <w:left w:val="none" w:sz="0" w:space="0" w:color="auto"/>
                <w:bottom w:val="none" w:sz="0" w:space="0" w:color="auto"/>
                <w:right w:val="none" w:sz="0" w:space="0" w:color="auto"/>
              </w:divBdr>
            </w:div>
            <w:div w:id="235090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443</Words>
  <Characters>2529</Characters>
  <Application>Microsoft Office Word</Application>
  <DocSecurity>0</DocSecurity>
  <Lines>21</Lines>
  <Paragraphs>5</Paragraphs>
  <ScaleCrop>false</ScaleCrop>
  <Company/>
  <LinksUpToDate>false</LinksUpToDate>
  <CharactersWithSpaces>2967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Bolton, Kevin</dc:creator>
  <cp:keywords/>
  <dc:description/>
  <cp:lastModifiedBy>Bolton, Kevin</cp:lastModifiedBy>
  <cp:revision>2</cp:revision>
  <dcterms:created xsi:type="dcterms:W3CDTF">2022-02-18T12:33:00Z</dcterms:created>
  <dcterms:modified xsi:type="dcterms:W3CDTF">2022-02-18T12:33:00Z</dcterms:modified>
</cp:coreProperties>
</file>